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2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r>
        <w:t xml:space="preserve">TBD</w:t>
      </w:r>
    </w:p>
    <w:bookmarkEnd w:id="23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Toby Ord,</w:t>
      </w:r>
      <w:r>
        <w:t xml:space="preserve"> </w:t>
      </w:r>
      <w:hyperlink r:id="rId24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5"/>
        </w:numPr>
      </w:pPr>
      <w:r>
        <w:t xml:space="preserve">Zhang, et al. </w:t>
      </w:r>
      <w:hyperlink r:id="rId25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TBD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5" Target="https://www.jair.org/index.php/jair/article/view/12895" TargetMode="External" /><Relationship Type="http://schemas.openxmlformats.org/officeDocument/2006/relationships/hyperlink" Id="rId24" Target="https://www.tobyord.com/writing/inference-scaling-reshapes-ai-gover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jair.org/index.php/jair/article/view/12895" TargetMode="External" /><Relationship Type="http://schemas.openxmlformats.org/officeDocument/2006/relationships/hyperlink" Id="rId24" Target="https://www.tobyord.com/writing/inference-scaling-reshapes-ai-gover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2026-03-16T15:16:50Z</dcterms:created>
  <dcterms:modified xsi:type="dcterms:W3CDTF">2026-03-16T15:16:50Z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