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3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An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helpiing you understand and use AI, not on policy.</w:t>
      </w:r>
    </w:p>
    <w:bookmarkStart w:id="35"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Language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and/or functional.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expressiveness of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2"/>
      </w:r>
      <w:r>
        <w:t xml:space="preserve"> </w:t>
      </w:r>
      <w:r>
        <w:t xml:space="preserve">Even more problematically, it is these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4"/>
      </w:r>
    </w:p>
    <w:bookmarkEnd w:id="35"/>
    <w:bookmarkStart w:id="54"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6">
        <w:r>
          <w:rPr>
            <w:rStyle w:val="Hyperlink"/>
          </w:rPr>
          <w:t xml:space="preserve">old man yells at cloud</w:t>
        </w:r>
      </w:hyperlink>
      <w:r>
        <w:t xml:space="preserve">? Well, possibly.</w:t>
      </w:r>
      <w:r>
        <w:rPr>
          <w:rStyle w:val="FootnoteReference"/>
        </w:rPr>
        <w:footnoteReference w:id="37"/>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r>
        <w:rPr>
          <w:rStyle w:val="FootnoteReference"/>
        </w:rPr>
        <w:footnoteReference w:id="38"/>
      </w:r>
    </w:p>
    <w:p>
      <w:pPr>
        <w:pStyle w:val="BodyText"/>
      </w:pPr>
      <w:r>
        <w:t xml:space="preserve">Now, this is not a class on how to use AI, nor on the ethical and responsible use of AI. (It’s a class on data.)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important.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42"/>
            </w:r>
            <w:r>
              <w:t xml:space="preserve"> </w:t>
            </w:r>
            <w:r>
              <w:t xml:space="preserve">and I promise you that OpenAI, Google, Anthropic, Mistral, etc won’t take responsibility for whatever you produce with their tools - that’s on you.</w:t>
            </w:r>
            <w:r>
              <w:rPr>
                <w:rStyle w:val="FootnoteReference"/>
              </w:rPr>
              <w:footnoteReference w:id="44"/>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caution.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8"/>
            </w:r>
          </w:p>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9">
        <w:r>
          <w:rPr>
            <w:rStyle w:val="Hyperlink"/>
          </w:rPr>
          <w:t xml:space="preserve">LaTeX</w:t>
        </w:r>
      </w:hyperlink>
      <w:r>
        <w:t xml:space="preserve">, and later translated, with the help of ChatGPT, to</w:t>
      </w:r>
      <w:r>
        <w:t xml:space="preserve"> </w:t>
      </w:r>
      <w:hyperlink r:id="rId50">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perfectly responsible ways, for instance.) But it is the way that</w:t>
      </w:r>
      <w:r>
        <w:t xml:space="preserve"> </w:t>
      </w:r>
      <w:r>
        <w:rPr>
          <w:i/>
          <w:iCs/>
        </w:rPr>
        <w:t xml:space="preserve">I</w:t>
      </w:r>
      <w:r>
        <w:t xml:space="preserve"> </w:t>
      </w:r>
      <w:r>
        <w:t xml:space="preserve">have found it most useful to use ChatGPT that strikes a balance between utility and awareness.</w:t>
      </w:r>
    </w:p>
    <w:p>
      <w:pPr>
        <w:pStyle w:val="BodyText"/>
      </w:pPr>
      <w:r>
        <w:t xml:space="preserve">Note a continued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51"/>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52">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3">
        <w:r>
          <w:rPr>
            <w:rStyle w:val="Hyperlink"/>
          </w:rPr>
          <w:t xml:space="preserve">is a bicycle for the mind</w:t>
        </w:r>
      </w:hyperlink>
      <w:r>
        <w:t xml:space="preserve">. The advent of technical progress means that your ChatGPT-equipped Apple laptop may be more like an automobile (or even a rocket) for your mind, rather than a bicycle, but the parallel is still apt: neither the bicyle nor the automobile replaces your own mind; it merely augments it.</w:t>
      </w:r>
    </w:p>
    <w:bookmarkEnd w:id="54"/>
    <w:bookmarkStart w:id="61"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5"/>
      </w:r>
    </w:p>
    <w:p>
      <w:pPr>
        <w:pStyle w:val="BodyText"/>
      </w:pPr>
      <w:r>
        <w:t xml:space="preserve">That said, I also believe that, even in courses that are not directly about AI, one of my jobs as an educator is to help students learn how to use AI effectively. I don’t ban the use of AI in my class – except in ways that violate common decency, the law, or other educational or professional obligations – and even tacitly encourage it in some circumstances.</w:t>
      </w:r>
    </w:p>
    <w:p>
      <w:pPr>
        <w:pStyle w:val="BodyText"/>
      </w:pPr>
      <w:r>
        <w:t xml:space="preserve">I would, however, strongly encourage you to be</w:t>
      </w:r>
      <w:r>
        <w:t xml:space="preserve"> </w:t>
      </w:r>
      <w:r>
        <w:rPr>
          <w:b/>
          <w:bCs/>
        </w:rPr>
        <w:t xml:space="preserve">skeptical</w:t>
      </w:r>
      <w:r>
        <w:t xml:space="preserve"> </w:t>
      </w:r>
      <w:r>
        <w:t xml:space="preserve">and not overuse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6"/>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7"/>
      </w:r>
      <w:r>
        <w:t xml:space="preserve"> </w:t>
      </w:r>
      <w:r>
        <w:t xml:space="preserve">nor does my interest lie in trying to figure out if you are attempting to pass AI slop</w:t>
      </w:r>
      <w:r>
        <w:rPr>
          <w:rStyle w:val="FootnoteReference"/>
        </w:rPr>
        <w:footnoteReference w:id="58"/>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60"/>
      </w:r>
    </w:p>
    <w:bookmarkEnd w:id="61"/>
    <w:bookmarkStart w:id="76"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62">
        <w:r>
          <w:rPr>
            <w:rStyle w:val="Hyperlink"/>
          </w:rPr>
          <w:t xml:space="preserve">I teach a course in AI Policy</w:t>
        </w:r>
      </w:hyperlink>
      <w:r>
        <w:t xml:space="preserve">, Professor Himmelreich teaches a class on</w:t>
      </w:r>
      <w:r>
        <w:t xml:space="preserve"> </w:t>
      </w:r>
      <w:hyperlink r:id="rId63">
        <w:r>
          <w:rPr>
            <w:rStyle w:val="Hyperlink"/>
          </w:rPr>
          <w:t xml:space="preserve">Data Ethics</w:t>
        </w:r>
      </w:hyperlink>
      <w:r>
        <w:t xml:space="preserve">, and Professor Zhang teaches a class on</w:t>
      </w:r>
      <w:r>
        <w:t xml:space="preserve"> </w:t>
      </w:r>
      <w:hyperlink r:id="rId64">
        <w:r>
          <w:rPr>
            <w:rStyle w:val="Hyperlink"/>
          </w:rPr>
          <w:t xml:space="preserve">AI Governance and Politics</w:t>
        </w:r>
      </w:hyperlink>
      <w:r>
        <w:t xml:space="preserve">. There are also a broader set of other AI-related things happening at Syracuse, including events through the</w:t>
      </w:r>
      <w:r>
        <w:t xml:space="preserve"> </w:t>
      </w:r>
      <w:hyperlink r:id="rId65">
        <w:r>
          <w:rPr>
            <w:rStyle w:val="Hyperlink"/>
          </w:rPr>
          <w:t xml:space="preserve">Autonomous Systems Policy Institute (ASPI)</w:t>
        </w:r>
      </w:hyperlink>
      <w:r>
        <w:t xml:space="preserve">, resources organized by</w:t>
      </w:r>
      <w:r>
        <w:t xml:space="preserve"> </w:t>
      </w:r>
      <w:hyperlink r:id="rId66">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7">
        <w:r>
          <w:rPr>
            <w:rStyle w:val="Hyperlink"/>
          </w:rPr>
          <w:t xml:space="preserve">series of articles</w:t>
        </w:r>
      </w:hyperlink>
      <w:r>
        <w:t xml:space="preserve"> </w:t>
      </w:r>
      <w:r>
        <w:t xml:space="preserve">that are well worth reading as well as an excellent</w:t>
      </w:r>
      <w:r>
        <w:t xml:space="preserve"> </w:t>
      </w:r>
      <w:hyperlink r:id="rId68">
        <w:r>
          <w:rPr>
            <w:rStyle w:val="Hyperlink"/>
          </w:rPr>
          <w:t xml:space="preserve">podcast she hosted on AI</w:t>
        </w:r>
      </w:hyperlink>
      <w:r>
        <w:t xml:space="preserve">. She also was interviewed in one of my favorite blog post titles ever,</w:t>
      </w:r>
      <w:r>
        <w:t xml:space="preserve"> </w:t>
      </w:r>
      <w:hyperlink r:id="rId69">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70">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71">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72">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3">
        <w:r>
          <w:rPr>
            <w:rStyle w:val="Hyperlink"/>
          </w:rPr>
          <w:t xml:space="preserve">Benjamin Evans</w:t>
        </w:r>
      </w:hyperlink>
      <w:r>
        <w:t xml:space="preserve"> </w:t>
      </w:r>
      <w:r>
        <w:t xml:space="preserve">and</w:t>
      </w:r>
      <w:r>
        <w:t xml:space="preserve"> </w:t>
      </w:r>
      <w:hyperlink r:id="rId74">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5">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3">
        <w:r>
          <w:rPr>
            <w:rStyle w:val="Hyperlink"/>
            <w:i/>
            <w:iCs/>
          </w:rPr>
          <w:t xml:space="preserve">The Illusion of Thinking</w:t>
        </w:r>
      </w:hyperlink>
      <w:r>
        <w:t xml:space="preserv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forceful points in academic settings, see</w:t>
      </w:r>
      <w:r>
        <w:t xml:space="preserve"> </w:t>
      </w:r>
      <w:hyperlink r:id="rId31">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See, for instance,</w:t>
      </w:r>
      <w:r>
        <w:t xml:space="preserve"> </w:t>
      </w:r>
      <w:hyperlink r:id="rId33">
        <w:r>
          <w:rPr>
            <w:rStyle w:val="Hyperlink"/>
          </w:rPr>
          <w:t xml:space="preserve">Lehmann, Cornelius, and Sting, 2024</w:t>
        </w:r>
      </w:hyperlink>
    </w:p>
  </w:footnote>
  <w:footnote w:id="34">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7">
    <w:p>
      <w:pPr>
        <w:pStyle w:val="FootnoteText"/>
      </w:pPr>
      <w:r>
        <w:rPr>
          <w:rStyle w:val="FootnoteReference"/>
        </w:rPr>
        <w:footnoteRef/>
      </w:r>
      <w:r>
        <w:t xml:space="preserve"> </w:t>
      </w:r>
      <w:r>
        <w:t xml:space="preserve">You never really know what you’re over the hill, after all. But you do feel it coming sooner every day.</w:t>
      </w:r>
    </w:p>
  </w:footnote>
  <w:footnote w:id="38">
    <w:p>
      <w:pPr>
        <w:pStyle w:val="FootnoteText"/>
      </w:pPr>
      <w:r>
        <w:rPr>
          <w:rStyle w:val="FootnoteReference"/>
        </w:rPr>
        <w:footnoteRef/>
      </w:r>
      <w:r>
        <w:t xml:space="preserve"> </w:t>
      </w:r>
      <w:r>
        <w:t xml:space="preserve">For 99.9% of economically relevant labor, our ultimate goal remains to work with and for</w:t>
      </w:r>
      <w:r>
        <w:t xml:space="preserve"> </w:t>
      </w:r>
      <w:r>
        <w:rPr>
          <w:i/>
          <w:iCs/>
        </w:rPr>
        <w:t xml:space="preserve">other humans</w:t>
      </w:r>
      <w:r>
        <w:t xml:space="preserve"> </w:t>
      </w:r>
      <w:r>
        <w:t xml:space="preserve">and</w:t>
      </w:r>
      <w:r>
        <w:t xml:space="preserve"> </w:t>
      </w:r>
      <w:r>
        <w:rPr>
          <w:i/>
          <w:iCs/>
        </w:rPr>
        <w:t xml:space="preserve">human society</w:t>
      </w:r>
      <w:r>
        <w:t xml:space="preserve">, after all.</w:t>
      </w:r>
    </w:p>
  </w:footnote>
  <w:footnote w:id="42">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3">
        <w:r>
          <w:rPr>
            <w:rStyle w:val="Hyperlink"/>
          </w:rPr>
          <w:t xml:space="preserve">discussion</w:t>
        </w:r>
      </w:hyperlink>
      <w:r>
        <w:t xml:space="preserve"> </w:t>
      </w:r>
      <w:r>
        <w:t xml:space="preserve">in regards to journals published by Springer-Nature.</w:t>
      </w:r>
    </w:p>
  </w:footnote>
  <w:footnote w:id="44">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8">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51">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 (like stackoverflow).</w:t>
      </w:r>
    </w:p>
  </w:footnote>
  <w:footnote w:id="55">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“two steps forward and one step back”</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6">
    <w:p>
      <w:pPr>
        <w:pStyle w:val="FootnoteText"/>
      </w:pPr>
      <w:r>
        <w:rPr>
          <w:rStyle w:val="FootnoteReference"/>
        </w:rPr>
        <w:footnoteRef/>
      </w:r>
      <w:r>
        <w:t xml:space="preserve"> </w:t>
      </w:r>
      <w:r>
        <w:t xml:space="preserve">An all too common mistake made today by many people, for the record.</w:t>
      </w:r>
    </w:p>
  </w:footnote>
  <w:footnote w:id="57">
    <w:p>
      <w:pPr>
        <w:pStyle w:val="FootnoteText"/>
      </w:pPr>
      <w:r>
        <w:rPr>
          <w:rStyle w:val="FootnoteReference"/>
        </w:rPr>
        <w:footnoteRef/>
      </w:r>
      <w:r>
        <w:t xml:space="preserve"> </w:t>
      </w:r>
      <w:r>
        <w:t xml:space="preserve">An arduous, unending, and unenviable task, like Sisyphus with his rock.</w:t>
      </w:r>
    </w:p>
  </w:footnote>
  <w:footnote w:id="58">
    <w:p>
      <w:pPr>
        <w:pStyle w:val="FootnoteText"/>
      </w:pPr>
      <w:r>
        <w:rPr>
          <w:rStyle w:val="FootnoteReference"/>
        </w:rPr>
        <w:footnoteRef/>
      </w:r>
      <w:r>
        <w:t xml:space="preserve"> </w:t>
      </w:r>
      <w:r>
        <w:t xml:space="preserve">AI slop: also known as, well,</w:t>
      </w:r>
      <w:r>
        <w:t xml:space="preserve"> </w:t>
      </w:r>
      <w:hyperlink r:id="rId59">
        <w:r>
          <w:rPr>
            <w:rStyle w:val="Hyperlink"/>
          </w:rPr>
          <w:t xml:space="preserve">you know</w:t>
        </w:r>
      </w:hyperlink>
      <w:r>
        <w:t xml:space="preserve">.</w:t>
      </w:r>
    </w:p>
  </w:footnote>
  <w:footnote w:id="60">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39" Target="media/rId39.png" /><Relationship Type="http://schemas.openxmlformats.org/officeDocument/2006/relationships/image" Id="rId24" Target="media/rId24.png" /><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2026-01-09T15:52:55Z</dcterms:created>
  <dcterms:modified xsi:type="dcterms:W3CDTF">2026-01-09T15:52:55Z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An Opinionated Discussion and Digression about Education and Technology</vt:lpwstr>
  </property>
  <property fmtid="{D5CDD505-2E9C-101B-9397-08002B2CF9AE}" pid="8" name="toc-title">
    <vt:lpwstr>Table of contents</vt:lpwstr>
  </property>
</Properties>
</file>