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1. Think:</w:t>
      </w:r>
    </w:p>
    <w:p>
      <w:pPr>
        <w:pStyle w:val="FirstParagraph"/>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2. Read:</w:t>
      </w:r>
    </w:p>
    <w:p>
      <w:pPr>
        <w:pStyle w:val="FirstParagraph"/>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3. Listen:</w:t>
      </w:r>
    </w:p>
    <w:p>
      <w:pPr>
        <w:pStyle w:val="FirstParagraph"/>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4. Browse:</w:t>
      </w:r>
    </w:p>
    <w:p>
      <w:pPr>
        <w:pStyle w:val="Compact"/>
        <w:numPr>
          <w:ilvl w:val="0"/>
          <w:numId w:val="1001"/>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1"/>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1"/>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consult-as-desired"/>
    <w:p>
      <w:pPr>
        <w:pStyle w:val="Heading4"/>
      </w:pPr>
      <w:r>
        <w:t xml:space="preserve">5. Consult as desired:</w:t>
      </w:r>
    </w:p>
    <w:p>
      <w:pPr>
        <w:pStyle w:val="Compact"/>
        <w:numPr>
          <w:ilvl w:val="0"/>
          <w:numId w:val="1002"/>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2"/>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2026-01-14T17:05:17Z</dcterms:created>
  <dcterms:modified xsi:type="dcterms:W3CDTF">2026-01-14T17:05:17Z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