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9"/>
    <w:bookmarkStart w:id="1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15"/>
    <w:bookmarkStart w:id="1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16">
        <w:r>
          <w:rPr>
            <w:rStyle w:val="Hyperlink"/>
          </w:rPr>
          <w:t xml:space="preserve">Episode 3: What Kind of Intelligence is an LLM?</w:t>
        </w:r>
      </w:hyperlink>
    </w:p>
    <w:bookmarkEnd w:id="17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20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25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26"/>
    <w:bookmarkStart w:id="3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27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28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29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Edwards, 2025.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With the launch of o3-pro, let’s talk about what AI “reasoning” actually does</w:t>
        </w:r>
      </w:hyperlink>
      <w:r>
        <w:t xml:space="preserve">”</w:t>
      </w:r>
      <w:r>
        <w:t xml:space="preserve"> </w:t>
      </w:r>
      <w:r>
        <w:t xml:space="preserve">Ars Technica.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2026-04-07T21:30:52Z</dcterms:created>
  <dcterms:modified xsi:type="dcterms:W3CDTF">2026-04-07T21:30:52Z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