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9" w:name="general-tips-and-advice"/>
    <w:p>
      <w:pPr>
        <w:pStyle w:val="Heading2"/>
      </w:pPr>
      <w:r>
        <w:t xml:space="preserve">General Tips and Advice</w:t>
      </w:r>
    </w:p>
    <w:p>
      <w:pPr>
        <w:numPr>
          <w:ilvl w:val="0"/>
          <w:numId w:val="1001"/>
        </w:numPr>
      </w:pPr>
      <w:r>
        <w:t xml:space="preserve">Refer to the other team as “our opponents” or “my opponent”.</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9"/>
    <w:bookmarkStart w:id="10"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(“This is true because…”)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(“This is important because…”)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10"/>
    <w:bookmarkStart w:id="13"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11"/>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12"/>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13"/>
    <w:bookmarkStart w:id="14"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12">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2026-04-07T21:27:16Z</dcterms:created>
  <dcterms:modified xsi:type="dcterms:W3CDTF">2026-04-07T21:27:16Z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