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9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 “ID”,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10"/>
    <w:bookmarkStart w:id="14" w:name="definitions-and-key-concepts"/>
    <w:p>
      <w:pPr>
        <w:pStyle w:val="Heading2"/>
      </w:pPr>
      <w:r>
        <w:t xml:space="preserve">Definitions and Key Concepts</w:t>
      </w:r>
    </w:p>
    <w:bookmarkStart w:id="11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11"/>
    <w:bookmarkStart w:id="12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EUV (Extreme Ultraviote Lithography)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p>
      <w:pPr>
        <w:pStyle w:val="Compact"/>
        <w:numPr>
          <w:ilvl w:val="1"/>
          <w:numId w:val="1008"/>
        </w:numPr>
      </w:pPr>
      <w:r>
        <w:t xml:space="preserve">Training vs Inference</w:t>
      </w:r>
    </w:p>
    <w:bookmarkEnd w:id="12"/>
    <w:bookmarkStart w:id="13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13"/>
    <w:bookmarkEnd w:id="14"/>
    <w:bookmarkStart w:id="15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 “Weak AI” and “Strong AI”?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 “test” 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2026-04-07T17:24:47Z</dcterms:created>
  <dcterms:modified xsi:type="dcterms:W3CDTF">2026-04-07T17:24:47Z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