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Future of Work in the Era of AI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3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6">
        <w:r>
          <w:rPr>
            <w:rStyle w:val="Hyperlink"/>
          </w:rPr>
          <w:t xml:space="preserve">Workers Experience with Chatbots and their Jobs</w:t>
        </w:r>
      </w:hyperlink>
    </w:p>
    <w:bookmarkEnd w:id="37"/>
    <w:bookmarkStart w:id="4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2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3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5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4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6" Target="https://www.pewresearch.org/social-trends/2025/02/25/workers-experience-with-ai-chatbots-in-their-jobs/" TargetMode="External" /><Relationship Type="http://schemas.openxmlformats.org/officeDocument/2006/relationships/hyperlink" Id="rId31" Target="https://www.repository.law.indiana.edu/ilj/vol100/iss1/7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2026-05-15T16:28:46Z</dcterms:created>
  <dcterms:modified xsi:type="dcterms:W3CDTF">2026-05-15T16:28:46Z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