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Emergent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Foreign Policy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strike/>
                </w:rPr>
                <w:t xml:space="preserve">Singularities, xRisk, &amp; AGI</w:t>
              </w:r>
              <w:r>
                <w:rPr>
                  <w:rStyle w:val="Hyperlink"/>
                </w:rPr>
                <w:t xml:space="preserve"> </w:t>
              </w:r>
              <w:r>
                <w:rPr>
                  <w:rStyle w:val="Hyperlink"/>
                </w:rPr>
                <w:t xml:space="preserve">Debate VI</w:t>
              </w:r>
            </w:hyperlink>
          </w:p>
        </w:tc>
      </w:tr>
    </w:tbl>
    <w:bookmarkEnd w:id="41"/>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2">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2026-05-15T16:24:51Z</dcterms:created>
  <dcterms:modified xsi:type="dcterms:W3CDTF">2026-05-15T16:24:51Z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