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5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potentially useful tidbits and starting points: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Intel’s foundry future depends on securing a customer for next-gen chipmaking tech</w:t>
        </w:r>
      </w:hyperlink>
      <w:r>
        <w:t xml:space="preserve">”</w:t>
      </w:r>
      <w:r>
        <w:t xml:space="preserve"> </w:t>
      </w:r>
      <w:r>
        <w:t xml:space="preserve">Reuters.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4">
        <w:r>
          <w:rPr>
            <w:rStyle w:val="Hyperlink"/>
          </w:rPr>
          <w:t xml:space="preserve">Intel’s Big Bet: Inside the Chipmaker’s Make-or-Break Factory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2026-05-15T16:24:08Z</dcterms:created>
  <dcterms:modified xsi:type="dcterms:W3CDTF">2026-05-15T16:24:08Z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