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1. Think:</w:t>
      </w:r>
    </w:p>
    <w:p>
      <w:pPr>
        <w:pStyle w:val="FirstParagraph"/>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2. Read:</w:t>
      </w:r>
    </w:p>
    <w:p>
      <w:pPr>
        <w:pStyle w:val="FirstParagraph"/>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3. Listen:</w:t>
      </w:r>
    </w:p>
    <w:p>
      <w:pPr>
        <w:pStyle w:val="FirstParagraph"/>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4. Browse:</w:t>
      </w:r>
    </w:p>
    <w:p>
      <w:pPr>
        <w:pStyle w:val="Compact"/>
        <w:numPr>
          <w:ilvl w:val="0"/>
          <w:numId w:val="1001"/>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1"/>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1"/>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consult-as-desired"/>
    <w:p>
      <w:pPr>
        <w:pStyle w:val="Heading4"/>
      </w:pPr>
      <w:r>
        <w:t xml:space="preserve">6. Consult as desired:</w:t>
      </w:r>
    </w:p>
    <w:p>
      <w:pPr>
        <w:pStyle w:val="Compact"/>
        <w:numPr>
          <w:ilvl w:val="0"/>
          <w:numId w:val="1002"/>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2"/>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2026-01-13T21:46:45Z</dcterms:created>
  <dcterms:modified xsi:type="dcterms:W3CDTF">2026-01-13T21:46:45Z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