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9"/>
    <w:bookmarkStart w:id="13"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10">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11">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12">
        <w:r>
          <w:rPr>
            <w:rStyle w:val="Hyperlink"/>
          </w:rPr>
          <w:t xml:space="preserve">TSMC Risk</w:t>
        </w:r>
      </w:hyperlink>
      <w:r>
        <w:t xml:space="preserve">”</w:t>
      </w:r>
      <w:r>
        <w:t xml:space="preserve"> </w:t>
      </w:r>
      <w:r>
        <w:t xml:space="preserve">2026.</w:t>
      </w:r>
    </w:p>
    <w:bookmarkEnd w:id="13"/>
    <w:bookmarkStart w:id="15" w:name="watch"/>
    <w:p>
      <w:pPr>
        <w:pStyle w:val="Heading4"/>
      </w:pPr>
      <w:r>
        <w:t xml:space="preserve">📺 Watch</w:t>
      </w:r>
    </w:p>
    <w:p>
      <w:pPr>
        <w:pStyle w:val="Compact"/>
        <w:numPr>
          <w:ilvl w:val="0"/>
          <w:numId w:val="1004"/>
        </w:numPr>
      </w:pPr>
      <w:r>
        <w:t xml:space="preserve">McGee, Patrick,</w:t>
      </w:r>
      <w:r>
        <w:t xml:space="preserve"> </w:t>
      </w:r>
      <w:r>
        <w:t xml:space="preserve">“</w:t>
      </w:r>
      <w:hyperlink r:id="rId14">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15"/>
    <w:bookmarkStart w:id="20" w:name="browse"/>
    <w:p>
      <w:pPr>
        <w:pStyle w:val="Heading4"/>
      </w:pPr>
      <w:r>
        <w:t xml:space="preserve">🌐 Browse</w:t>
      </w:r>
    </w:p>
    <w:p>
      <w:pPr>
        <w:pStyle w:val="Compact"/>
        <w:numPr>
          <w:ilvl w:val="0"/>
          <w:numId w:val="1005"/>
        </w:numPr>
      </w:pPr>
      <w:r>
        <w:t xml:space="preserve">“</w:t>
      </w:r>
      <w:hyperlink r:id="rId16">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17">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18">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19">
        <w:r>
          <w:rPr>
            <w:rStyle w:val="Hyperlink"/>
          </w:rPr>
          <w:t xml:space="preserve">The gap between global threats and American power will grow in 2025</w:t>
        </w:r>
      </w:hyperlink>
      <w:r>
        <w:t xml:space="preserve">”</w:t>
      </w:r>
    </w:p>
    <w:bookmarkEnd w:id="20"/>
    <w:bookmarkStart w:id="35"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21">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22">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23">
        <w:r>
          <w:rPr>
            <w:rStyle w:val="Hyperlink"/>
          </w:rPr>
          <w:t xml:space="preserve">Intel’s Death and Potential Revival</w:t>
        </w:r>
      </w:hyperlink>
      <w:r>
        <w:t xml:space="preserve">”</w:t>
      </w:r>
    </w:p>
    <w:p>
      <w:pPr>
        <w:pStyle w:val="Compact"/>
        <w:numPr>
          <w:ilvl w:val="0"/>
          <w:numId w:val="1006"/>
        </w:numPr>
      </w:pPr>
      <w:r>
        <w:rPr>
          <w:i/>
          <w:iCs/>
        </w:rPr>
        <w:t xml:space="preserve">References on geopolitics, broadly:</w:t>
      </w:r>
    </w:p>
    <w:p>
      <w:pPr>
        <w:pStyle w:val="Compact"/>
        <w:numPr>
          <w:ilvl w:val="1"/>
          <w:numId w:val="1007"/>
        </w:numPr>
      </w:pPr>
      <w:r>
        <w:t xml:space="preserve">Nye,</w:t>
      </w:r>
      <w:r>
        <w:t xml:space="preserve"> </w:t>
      </w:r>
      <w:r>
        <w:t xml:space="preserve">“</w:t>
      </w:r>
      <w:hyperlink r:id="rId24">
        <w:r>
          <w:rPr>
            <w:rStyle w:val="Hyperlink"/>
          </w:rPr>
          <w:t xml:space="preserve">Soft Power</w:t>
        </w:r>
      </w:hyperlink>
      <w:r>
        <w:t xml:space="preserve">”</w:t>
      </w:r>
    </w:p>
    <w:p>
      <w:pPr>
        <w:pStyle w:val="Compact"/>
        <w:numPr>
          <w:ilvl w:val="1"/>
          <w:numId w:val="1007"/>
        </w:numPr>
      </w:pPr>
      <w:r>
        <w:t xml:space="preserve">“</w:t>
      </w:r>
      <w:hyperlink r:id="rId25">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26">
        <w:r>
          <w:rPr>
            <w:rStyle w:val="Hyperlink"/>
          </w:rPr>
          <w:t xml:space="preserve">Beijing Spins a Web of Chinese Infrastructure</w:t>
        </w:r>
      </w:hyperlink>
      <w:r>
        <w:t xml:space="preserve"> </w:t>
      </w:r>
      <w:r>
        <w:t xml:space="preserve">and</w:t>
      </w:r>
      <w:r>
        <w:t xml:space="preserve"> </w:t>
      </w:r>
      <w:hyperlink r:id="rId27">
        <w:r>
          <w:rPr>
            <w:rStyle w:val="Hyperlink"/>
          </w:rPr>
          <w:t xml:space="preserve">China Reboots Belt and Road</w:t>
        </w:r>
      </w:hyperlink>
    </w:p>
    <w:p>
      <w:pPr>
        <w:pStyle w:val="Compact"/>
        <w:numPr>
          <w:ilvl w:val="1"/>
          <w:numId w:val="1007"/>
        </w:numPr>
      </w:pPr>
      <w:r>
        <w:t xml:space="preserve">China in Latin America:</w:t>
      </w:r>
      <w:r>
        <w:t xml:space="preserve"> </w:t>
      </w:r>
      <w:hyperlink r:id="rId28">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29">
        <w:r>
          <w:rPr>
            <w:rStyle w:val="Hyperlink"/>
          </w:rPr>
          <w:t xml:space="preserve">https://www.economist.com/leaders/2025/02/13/countering-chinas-diplomatic-coup</w:t>
        </w:r>
      </w:hyperlink>
      <w:r>
        <w:t xml:space="preserve">,</w:t>
      </w:r>
      <w:r>
        <w:t xml:space="preserve"> </w:t>
      </w:r>
      <w:hyperlink r:id="rId30">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31">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2026-05-15T16:35:44Z</dcterms:created>
  <dcterms:modified xsi:type="dcterms:W3CDTF">2026-05-15T16:35:44Z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