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 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9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 “ID”,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10"/>
    <w:bookmarkStart w:id="14" w:name="definitions-and-key-concepts"/>
    <w:p>
      <w:pPr>
        <w:pStyle w:val="Heading2"/>
      </w:pPr>
      <w:r>
        <w:t xml:space="preserve">Definitions and Key Concepts</w:t>
      </w:r>
    </w:p>
    <w:bookmarkStart w:id="11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11"/>
    <w:bookmarkStart w:id="12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EUV (Extreme Ultraviote Lithography)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p>
      <w:pPr>
        <w:pStyle w:val="Compact"/>
        <w:numPr>
          <w:ilvl w:val="1"/>
          <w:numId w:val="1008"/>
        </w:numPr>
      </w:pPr>
      <w:r>
        <w:t xml:space="preserve">Training vs Inference</w:t>
      </w:r>
    </w:p>
    <w:bookmarkEnd w:id="12"/>
    <w:bookmarkStart w:id="13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1"/>
          <w:numId w:val="1010"/>
        </w:numPr>
      </w:pPr>
      <w:r>
        <w:t xml:space="preserve">“Hyperscalers”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13"/>
    <w:bookmarkEnd w:id="14"/>
    <w:bookmarkStart w:id="15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 “Weak AI” and “Strong AI”?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 “test” 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Exam Guide</dc:title>
  <dc:creator>Prof. Jack Reilly</dc:creator>
  <cp:keywords/>
  <dcterms:created xsi:type="dcterms:W3CDTF">2026-05-15T16:33:30Z</dcterms:created>
  <dcterms:modified xsi:type="dcterms:W3CDTF">2026-05-15T16:33:30Z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