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3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
    <w:bookmarkStart w:id="1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5"/>
    <w:bookmarkStart w:id="1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2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29"/>
    <w:bookmarkStart w:id="31" w:name="faith-and-religious-accommodations"/>
    <w:p>
      <w:pPr>
        <w:pStyle w:val="Heading3"/>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32">
        <w:r>
          <w:rPr>
            <w:rStyle w:val="Hyperlink"/>
          </w:rPr>
          <w:t xml:space="preserve">Compliance with the Family Education Rights and Privacy Act</w:t>
        </w:r>
      </w:hyperlink>
      <w:r>
        <w:t xml:space="preserve"> </w:t>
      </w:r>
      <w:r>
        <w:t xml:space="preserve">or contact the Office of the Registrar (315.443.2422).</w:t>
      </w:r>
    </w:p>
    <w:bookmarkEnd w:id="33"/>
    <w:bookmarkStart w:id="3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5"/>
    <w:bookmarkStart w:id="3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36">
        <w:r>
          <w:rPr>
            <w:rStyle w:val="Hyperlink"/>
          </w:rPr>
          <w:t xml:space="preserve">DPS website</w:t>
        </w:r>
      </w:hyperlink>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2026-04-01T21:16:31Z</dcterms:created>
  <dcterms:modified xsi:type="dcterms:W3CDTF">2026-04-01T21:16:31Z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