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r>
        <w:rPr>
          <w:b/>
          <w:bCs/>
        </w:rPr>
        <w:t xml:space="preserve">“A Brief History of Embodied Artificial Intelligence, and its Outlook”</w:t>
      </w:r>
      <w:r>
        <w:br/>
      </w:r>
      <w:hyperlink r:id="rId25">
        <w:r>
          <w:rPr>
            <w:rStyle w:val="Hyperlink"/>
          </w:rPr>
          <w:t xml:space="preserve">https://cacm.acm.org/blogcacm/a-brief-history-of-embodied-artificial-intelligence-and-its-future-outlook/</w:t>
        </w:r>
      </w:hyperlink>
    </w:p>
    <w:p>
      <w:pPr>
        <w:pStyle w:val="Compact"/>
        <w:numPr>
          <w:ilvl w:val="0"/>
          <w:numId w:val="1004"/>
        </w:numPr>
      </w:pPr>
      <w:r>
        <w:rPr>
          <w:b/>
          <w:bCs/>
        </w:rPr>
        <w:t xml:space="preserve">“NHTSA Finds Teslas Deactivated Autopilot Seconds Before Crashes”</w:t>
      </w:r>
      <w:r>
        <w:br/>
      </w:r>
      <w:hyperlink r:id="rId26">
        <w:r>
          <w:rPr>
            <w:rStyle w:val="Hyperlink"/>
          </w:rPr>
          <w:t xml:space="preserve">https://www.motortrend.com/news/nhtsa-tesla-autopilot-investigation-shutoff-crash/</w:t>
        </w:r>
      </w:hyperlink>
    </w:p>
    <w:p>
      <w:pPr>
        <w:pStyle w:val="Compact"/>
        <w:numPr>
          <w:ilvl w:val="0"/>
          <w:numId w:val="1004"/>
        </w:numPr>
      </w:pPr>
      <w:r>
        <w:t xml:space="preserve">Ziegler, Bart. 2023.</w:t>
      </w:r>
      <w:r>
        <w:t xml:space="preserve"> </w:t>
      </w:r>
      <w:r>
        <w:rPr>
          <w:b/>
          <w:bCs/>
        </w:rPr>
        <w:t xml:space="preserve">“When Will Cars Be Fully Self Driving?”</w:t>
      </w:r>
      <w:r>
        <w:br/>
      </w:r>
      <w:hyperlink r:id="rId27">
        <w:r>
          <w:rPr>
            <w:rStyle w:val="Hyperlink"/>
          </w:rPr>
          <w:t xml:space="preserve">https://www.wsj.com/articles/cars-self-driving-when-c6ae4fdc</w:t>
        </w:r>
      </w:hyperlink>
    </w:p>
    <w:p>
      <w:pPr>
        <w:pStyle w:val="Compact"/>
        <w:numPr>
          <w:ilvl w:val="0"/>
          <w:numId w:val="1004"/>
        </w:numPr>
      </w:pPr>
      <w:r>
        <w:rPr>
          <w:b/>
          <w:bCs/>
        </w:rPr>
        <w:t xml:space="preserve">“The evolving safety and policy challenges of self-driving cars”</w:t>
      </w:r>
      <w:r>
        <w:t xml:space="preserve">, Brookings</w:t>
      </w:r>
      <w:r>
        <w:br/>
      </w:r>
      <w:hyperlink r:id="rId28">
        <w:r>
          <w:rPr>
            <w:rStyle w:val="Hyperlink"/>
          </w:rPr>
          <w:t xml:space="preserve">https://www.brookings.edu/articles/the-evolving-safety-and-policy-challenges-of-self-driving-cars/</w:t>
        </w:r>
      </w:hyperlink>
    </w:p>
    <w:bookmarkEnd w:id="29"/>
    <w:bookmarkStart w:id="35" w:name="additional-resources"/>
    <w:p>
      <w:pPr>
        <w:pStyle w:val="Heading4"/>
      </w:pPr>
      <w:r>
        <w:t xml:space="preserve">📚 Additional Resources:</w:t>
      </w:r>
    </w:p>
    <w:p>
      <w:pPr>
        <w:pStyle w:val="Compact"/>
        <w:numPr>
          <w:ilvl w:val="0"/>
          <w:numId w:val="1005"/>
        </w:numPr>
      </w:pPr>
      <w:r>
        <w:t xml:space="preserve">Ganesh,</w:t>
      </w:r>
      <w:r>
        <w:t xml:space="preserve"> </w:t>
      </w:r>
      <w:r>
        <w:rPr>
          <w:b/>
          <w:bCs/>
        </w:rPr>
        <w:t xml:space="preserve">“The ironies of autonomy”</w:t>
      </w:r>
      <w:r>
        <w:br/>
      </w:r>
      <w:hyperlink r:id="rId30">
        <w:r>
          <w:rPr>
            <w:rStyle w:val="Hyperlink"/>
          </w:rPr>
          <w:t xml:space="preserve">https://www.nature.com/articles/s41599-020-00646-0</w:t>
        </w:r>
      </w:hyperlink>
    </w:p>
    <w:p>
      <w:pPr>
        <w:pStyle w:val="Compact"/>
        <w:numPr>
          <w:ilvl w:val="0"/>
          <w:numId w:val="1005"/>
        </w:numPr>
      </w:pPr>
      <w:r>
        <w:t xml:space="preserve">Chan et al.,</w:t>
      </w:r>
      <w:r>
        <w:t xml:space="preserve"> </w:t>
      </w:r>
      <w:r>
        <w:rPr>
          <w:b/>
          <w:bCs/>
        </w:rPr>
        <w:t xml:space="preserve">“Infrastructure for AI Agents”</w:t>
      </w:r>
      <w:r>
        <w:br/>
      </w:r>
      <w:hyperlink r:id="rId31">
        <w:r>
          <w:rPr>
            <w:rStyle w:val="Hyperlink"/>
          </w:rPr>
          <w:t xml:space="preserve">https://arxiv.org/abs/2501.10114</w:t>
        </w:r>
      </w:hyperlink>
    </w:p>
    <w:p>
      <w:pPr>
        <w:pStyle w:val="Compact"/>
        <w:numPr>
          <w:ilvl w:val="0"/>
          <w:numId w:val="1005"/>
        </w:numPr>
      </w:pPr>
      <w:r>
        <w:t xml:space="preserve">Geistfeld,</w:t>
      </w:r>
      <w:r>
        <w:t xml:space="preserve"> </w:t>
      </w:r>
      <w:r>
        <w:rPr>
          <w:b/>
          <w:bCs/>
        </w:rPr>
        <w:t xml:space="preserve">“A Roadmap for Autonomous Vehicles: State Tort Liability, Automobile Insurance, and Federal Safety Regulation”</w:t>
      </w:r>
    </w:p>
    <w:p>
      <w:pPr>
        <w:pStyle w:val="Compact"/>
        <w:numPr>
          <w:ilvl w:val="0"/>
          <w:numId w:val="1005"/>
        </w:numPr>
      </w:pPr>
      <w:r>
        <w:t xml:space="preserve">NHTSA,</w:t>
      </w:r>
      <w:r>
        <w:t xml:space="preserve"> </w:t>
      </w:r>
      <w:r>
        <w:rPr>
          <w:b/>
          <w:bCs/>
        </w:rPr>
        <w:t xml:space="preserve">“Automated Vehicles for Safety”</w:t>
      </w:r>
      <w:r>
        <w:br/>
      </w:r>
      <w:hyperlink r:id="rId32">
        <w:r>
          <w:rPr>
            <w:rStyle w:val="Hyperlink"/>
          </w:rPr>
          <w:t xml:space="preserve">https://www.nhtsa.gov/vehicle-safety/automated-vehicles-safety</w:t>
        </w:r>
      </w:hyperlink>
    </w:p>
    <w:p>
      <w:pPr>
        <w:pStyle w:val="Compact"/>
        <w:numPr>
          <w:ilvl w:val="0"/>
          <w:numId w:val="1005"/>
        </w:numPr>
      </w:pPr>
      <w:r>
        <w:t xml:space="preserve">Google,</w:t>
      </w:r>
      <w:r>
        <w:t xml:space="preserve"> </w:t>
      </w:r>
      <w:r>
        <w:rPr>
          <w:b/>
          <w:bCs/>
        </w:rPr>
        <w:t xml:space="preserve">AI Responsibility Report</w:t>
      </w:r>
      <w:r>
        <w:br/>
      </w:r>
      <w:hyperlink r:id="rId33">
        <w:r>
          <w:rPr>
            <w:rStyle w:val="Hyperlink"/>
          </w:rPr>
          <w:t xml:space="preserve">https://ai.google/static/documents/ai-responsibility-update-published-february-2025.pdf</w:t>
        </w:r>
      </w:hyperlink>
    </w:p>
    <w:p>
      <w:pPr>
        <w:pStyle w:val="Compact"/>
        <w:numPr>
          <w:ilvl w:val="0"/>
          <w:numId w:val="1005"/>
        </w:numPr>
      </w:pPr>
      <w:r>
        <w:t xml:space="preserve">Stanford Encyclopedia of Philosophy,</w:t>
      </w:r>
      <w:r>
        <w:t xml:space="preserve"> </w:t>
      </w:r>
      <w:r>
        <w:rPr>
          <w:b/>
          <w:bCs/>
        </w:rPr>
        <w:t xml:space="preserve">“Doing vs Allowing Harm”</w:t>
      </w:r>
      <w:r>
        <w:t xml:space="preserve"> </w:t>
      </w:r>
      <w:r>
        <w:t xml:space="preserve">(especially the Trolley Problem section)</w:t>
      </w:r>
    </w:p>
    <w:p>
      <w:pPr>
        <w:pStyle w:val="Compact"/>
        <w:numPr>
          <w:ilvl w:val="0"/>
          <w:numId w:val="1005"/>
        </w:numPr>
      </w:pPr>
      <w:r>
        <w:t xml:space="preserve">Himmelreich,</w:t>
      </w:r>
      <w:r>
        <w:t xml:space="preserve"> </w:t>
      </w:r>
      <w:r>
        <w:rPr>
          <w:b/>
          <w:bCs/>
        </w:rPr>
        <w:t xml:space="preserve">“Never Mind the Trolley: The Ethics of Autonomous Vehicles in Mundane Situations”</w:t>
      </w:r>
      <w:r>
        <w:br/>
      </w:r>
      <w:hyperlink r:id="rId34">
        <w:r>
          <w:rPr>
            <w:rStyle w:val="Hyperlink"/>
          </w:rPr>
          <w:t xml:space="preserve">https://link.springer.com/article/10.1007/s10677-018-9896-4</w:t>
        </w:r>
      </w:hyperlink>
    </w:p>
    <w:bookmarkEnd w:id="35"/>
    <w:bookmarkStart w:id="39"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2026-01-15T21:36:02Z</dcterms:created>
  <dcterms:modified xsi:type="dcterms:W3CDTF">2026-01-15T21:36:02Z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