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400/600: Data Wrangling and Visualization</w:t>
      </w:r>
    </w:p>
    <w:p>
      <w:pPr>
        <w:pStyle w:val="Subtitle"/>
      </w:pPr>
      <w:r>
        <w:t xml:space="preserve">Course Syllabus</w:t>
      </w:r>
    </w:p>
    <w:p>
      <w:pPr>
        <w:pStyle w:val="Author"/>
      </w:pPr>
      <w:r>
        <w:t xml:space="preserve">Prof. Jack Reilly</w:t>
      </w:r>
    </w:p>
    <w:p>
      <w:pPr>
        <w:pStyle w:val="Date"/>
      </w:pPr>
      <w:r>
        <w:t xml:space="preserve">F2025</w:t>
      </w:r>
    </w:p>
    <w:bookmarkStart w:id="29" w:name="course-information"/>
    <w:p>
      <w:pPr>
        <w:pStyle w:val="Heading1"/>
      </w:pPr>
      <w:r>
        <w:t xml:space="preserve">Course Information</w:t>
      </w:r>
    </w:p>
    <w:bookmarkStart w:id="20" w:name="class"/>
    <w:p>
      <w:pPr>
        <w:pStyle w:val="Heading2"/>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2"/>
      </w:pPr>
      <w:r>
        <w:t xml:space="preserve">Course Description</w:t>
      </w:r>
    </w:p>
    <w:p>
      <w:pPr>
        <w:pStyle w:val="FirstParagraph"/>
      </w:pPr>
      <w:r>
        <w:t xml:space="preserve">Every step in policymaking relies on data. This course introduces students to data management, wrangling, communication, and visualization in the context of public policy, public administration, and behavioral science as well as the technical tools necessary to do such work in an open and reproducible fashion.</w:t>
      </w:r>
    </w:p>
    <w:bookmarkEnd w:id="25"/>
    <w:bookmarkStart w:id="26" w:name="expanded-description"/>
    <w:p>
      <w:pPr>
        <w:pStyle w:val="Heading2"/>
      </w:pPr>
      <w:r>
        <w:t xml:space="preserve">Expanded Description</w:t>
      </w:r>
    </w:p>
    <w:p>
      <w:pPr>
        <w:pStyle w:val="FirstParagraph"/>
      </w:pPr>
      <w:r>
        <w:t xml:space="preserve">Data preprocessing, wrangling, and management often consumes a large fraction of the time spent doing quantitative data analysis in public administration, public policy, and behavioral science research. Yet these topics frequently do not receive regular attention in methodological courses that focus on statistical inference. This class introduces students to the technical tools necessary to do these tasks in an open and reproducible fashion suitable for modern computational data workflows in the public sector. Throughout the course of the semester, students will learn the principles and practice of conducting reproducible quantitative research, including readable programming and coding, version control, methods of documentation, data storage, workflow management, and exploratory data visualization. A variety of relevant open technical software tools will be introduced and used, including but not limited to R (and RStudio), git (and github), markdown, and a variety of helper programs to tie things together. Special attention will be paid to data frequently used in public policy, public administration, and behavioral science.</w:t>
      </w:r>
    </w:p>
    <w:bookmarkEnd w:id="26"/>
    <w:bookmarkStart w:id="27" w:name="prerequisites"/>
    <w:p>
      <w:pPr>
        <w:pStyle w:val="Heading2"/>
      </w:pPr>
      <w:r>
        <w:t xml:space="preserve">Prerequisites</w:t>
      </w:r>
    </w:p>
    <w:p>
      <w:pPr>
        <w:pStyle w:val="FirstParagraph"/>
      </w:pPr>
      <w:r>
        <w:t xml:space="preserve">No formal pre-requisites. It is assumed you have either previously taken or are currently enrolled in an</w:t>
      </w:r>
      <w:r>
        <w:t xml:space="preserve"> </w:t>
      </w:r>
      <w:r>
        <w:t xml:space="preserve">“Introduction to Statistics”</w:t>
      </w:r>
      <w:r>
        <w:t xml:space="preserve"> </w:t>
      </w:r>
      <w:r>
        <w:t xml:space="preserve">or</w:t>
      </w:r>
      <w:r>
        <w:t xml:space="preserve"> </w:t>
      </w:r>
      <w:r>
        <w:t xml:space="preserve">“Quantitative Methods”</w:t>
      </w:r>
      <w:r>
        <w:t xml:space="preserve"> </w:t>
      </w:r>
      <w:r>
        <w:t xml:space="preserve">class (ie, PAI 721 or MAX 201), and are conversant enough in statistics to be able to work with concepts like</w:t>
      </w:r>
      <w:r>
        <w:t xml:space="preserve"> </w:t>
      </w:r>
      <w:r>
        <w:t xml:space="preserve">“mean”</w:t>
      </w:r>
      <w:r>
        <w:t xml:space="preserve"> </w:t>
      </w:r>
      <w:r>
        <w:t xml:space="preserve">and</w:t>
      </w:r>
      <w:r>
        <w:t xml:space="preserve"> </w:t>
      </w:r>
      <w:r>
        <w:t xml:space="preserve">“standard deviation”</w:t>
      </w:r>
      <w:r>
        <w:t xml:space="preserve">.</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Learning a programming langauge is challenging work, and students must be prepared to invest the appropriate time, energy, effort, and -</w:t>
      </w:r>
      <w:r>
        <w:t xml:space="preserve"> </w:t>
      </w:r>
      <w:r>
        <w:rPr>
          <w:i/>
          <w:iCs/>
        </w:rPr>
        <w:t xml:space="preserve">above all</w:t>
      </w:r>
      <w:r>
        <w:t xml:space="preserve"> </w:t>
      </w:r>
      <w:r>
        <w:t xml:space="preserve">- patience.</w:t>
      </w:r>
    </w:p>
    <w:bookmarkEnd w:id="27"/>
    <w:bookmarkStart w:id="28" w:name="learning-objectives"/>
    <w:p>
      <w:pPr>
        <w:pStyle w:val="Heading2"/>
      </w:pPr>
      <w:r>
        <w:t xml:space="preserve">Learning Objectives</w:t>
      </w:r>
    </w:p>
    <w:p>
      <w:pPr>
        <w:pStyle w:val="Compact"/>
        <w:numPr>
          <w:ilvl w:val="0"/>
          <w:numId w:val="1001"/>
        </w:numPr>
      </w:pPr>
      <w:r>
        <w:t xml:space="preserve">Demonstrate capability in open science and contemporary reproducible data processing, wrangling, and management tools</w:t>
      </w:r>
    </w:p>
    <w:p>
      <w:pPr>
        <w:pStyle w:val="Compact"/>
        <w:numPr>
          <w:ilvl w:val="0"/>
          <w:numId w:val="1001"/>
        </w:numPr>
      </w:pPr>
      <w:r>
        <w:t xml:space="preserve">Apply appropriate principles of data and file management to data projects</w:t>
      </w:r>
    </w:p>
    <w:p>
      <w:pPr>
        <w:pStyle w:val="Compact"/>
        <w:numPr>
          <w:ilvl w:val="0"/>
          <w:numId w:val="1001"/>
        </w:numPr>
      </w:pPr>
      <w:r>
        <w:t xml:space="preserve">Evaluate the credibility and clarity of data visualizations</w:t>
      </w:r>
    </w:p>
    <w:p>
      <w:pPr>
        <w:pStyle w:val="Compact"/>
        <w:numPr>
          <w:ilvl w:val="0"/>
          <w:numId w:val="1001"/>
        </w:numPr>
      </w:pPr>
      <w:r>
        <w:t xml:space="preserve">Create effective, reproducible, and well designed data visualizations with appropriate tools</w:t>
      </w:r>
    </w:p>
    <w:p>
      <w:pPr>
        <w:pStyle w:val="Compact"/>
        <w:numPr>
          <w:ilvl w:val="0"/>
          <w:numId w:val="1001"/>
        </w:numPr>
      </w:pPr>
      <w:r>
        <w:t xml:space="preserve">Analyze large-N datasets commonly used in public policy and behavioral science</w:t>
      </w:r>
    </w:p>
    <w:bookmarkEnd w:id="28"/>
    <w:bookmarkEnd w:id="29"/>
    <w:bookmarkStart w:id="44" w:name="materials"/>
    <w:p>
      <w:pPr>
        <w:pStyle w:val="Heading1"/>
      </w:pPr>
      <w:r>
        <w:t xml:space="preserve">Materials</w:t>
      </w:r>
    </w:p>
    <w:bookmarkStart w:id="38" w:name="books"/>
    <w:p>
      <w:pPr>
        <w:pStyle w:val="Heading2"/>
      </w:pPr>
      <w:r>
        <w:t xml:space="preserve">Books</w:t>
      </w:r>
    </w:p>
    <w:p>
      <w:pPr>
        <w:pStyle w:val="Compact"/>
        <w:numPr>
          <w:ilvl w:val="0"/>
          <w:numId w:val="1002"/>
        </w:numPr>
      </w:pPr>
      <w:r>
        <w:t xml:space="preserve">Required:</w:t>
      </w:r>
    </w:p>
    <w:p>
      <w:pPr>
        <w:pStyle w:val="Compact"/>
        <w:numPr>
          <w:ilvl w:val="1"/>
          <w:numId w:val="1003"/>
        </w:numPr>
      </w:pPr>
      <w:r>
        <w:t xml:space="preserve">Weidmann, Nils.</w:t>
      </w:r>
      <w:r>
        <w:t xml:space="preserve"> </w:t>
      </w:r>
      <w:r>
        <w:rPr>
          <w:i/>
          <w:iCs/>
        </w:rPr>
        <w:t xml:space="preserve">Data Management for Social Scientists</w:t>
      </w:r>
      <w:r>
        <w:t xml:space="preserve">. Open access:</w:t>
      </w:r>
      <w:r>
        <w:t xml:space="preserve"> </w:t>
      </w:r>
      <w:hyperlink r:id="rId30">
        <w:r>
          <w:rPr>
            <w:rStyle w:val="Hyperlink"/>
          </w:rPr>
          <w:t xml:space="preserve">https://doi.org/10.1017/9781108990424</w:t>
        </w:r>
      </w:hyperlink>
    </w:p>
    <w:p>
      <w:pPr>
        <w:pStyle w:val="Compact"/>
        <w:numPr>
          <w:ilvl w:val="1"/>
          <w:numId w:val="1003"/>
        </w:numPr>
      </w:pPr>
      <w:r>
        <w:t xml:space="preserve">Healy, Kieran.</w:t>
      </w:r>
      <w:r>
        <w:t xml:space="preserve"> </w:t>
      </w:r>
      <w:r>
        <w:rPr>
          <w:i/>
          <w:iCs/>
        </w:rPr>
        <w:t xml:space="preserve">Data Visualization: A Practical Introduction</w:t>
      </w:r>
      <w:r>
        <w:t xml:space="preserve">. Open access:</w:t>
      </w:r>
      <w:r>
        <w:t xml:space="preserve"> </w:t>
      </w:r>
      <w:hyperlink r:id="rId31">
        <w:r>
          <w:rPr>
            <w:rStyle w:val="Hyperlink"/>
          </w:rPr>
          <w:t xml:space="preserve">https://socviz.co</w:t>
        </w:r>
      </w:hyperlink>
    </w:p>
    <w:p>
      <w:pPr>
        <w:pStyle w:val="Compact"/>
        <w:numPr>
          <w:ilvl w:val="0"/>
          <w:numId w:val="1002"/>
        </w:numPr>
      </w:pPr>
      <w:r>
        <w:t xml:space="preserve">Recommended: A book on R programming or data wrangling</w:t>
      </w:r>
    </w:p>
    <w:p>
      <w:pPr>
        <w:pStyle w:val="Compact"/>
        <w:numPr>
          <w:ilvl w:val="1"/>
          <w:numId w:val="1004"/>
        </w:numPr>
      </w:pPr>
      <w:r>
        <w:rPr>
          <w:i/>
          <w:iCs/>
        </w:rPr>
        <w:t xml:space="preserve">Recommended:</w:t>
      </w:r>
      <w:r>
        <w:t xml:space="preserve"> </w:t>
      </w:r>
      <w:r>
        <w:t xml:space="preserve">Braun &amp; Murdoch,</w:t>
      </w:r>
      <w:r>
        <w:t xml:space="preserve"> </w:t>
      </w:r>
      <w:r>
        <w:rPr>
          <w:i/>
          <w:iCs/>
        </w:rPr>
        <w:t xml:space="preserve">A First Course in Statistical Programming</w:t>
      </w:r>
      <w:r>
        <w:t xml:space="preserve">, 3rd Edition.</w:t>
      </w:r>
      <w:r>
        <w:t xml:space="preserve"> </w:t>
      </w:r>
      <w:r>
        <w:rPr>
          <w:i/>
          <w:iCs/>
        </w:rPr>
        <w:t xml:space="preserve">Purchase links:</w:t>
      </w:r>
      <w:r>
        <w:t xml:space="preserve"> </w:t>
      </w:r>
      <w:hyperlink r:id="rId32">
        <w:r>
          <w:rPr>
            <w:rStyle w:val="Hyperlink"/>
          </w:rPr>
          <w:t xml:space="preserve">cambridge</w:t>
        </w:r>
      </w:hyperlink>
      <w:r>
        <w:t xml:space="preserve"> </w:t>
      </w:r>
      <w:hyperlink r:id="rId33">
        <w:r>
          <w:rPr>
            <w:rStyle w:val="Hyperlink"/>
          </w:rPr>
          <w:t xml:space="preserve">amazon</w:t>
        </w:r>
      </w:hyperlink>
    </w:p>
    <w:p>
      <w:pPr>
        <w:pStyle w:val="Compact"/>
        <w:numPr>
          <w:ilvl w:val="1"/>
          <w:numId w:val="1004"/>
        </w:numPr>
      </w:pPr>
      <w:r>
        <w:rPr>
          <w:i/>
          <w:iCs/>
        </w:rPr>
        <w:t xml:space="preserve">Other options:</w:t>
      </w:r>
    </w:p>
    <w:p>
      <w:pPr>
        <w:pStyle w:val="Compact"/>
        <w:numPr>
          <w:ilvl w:val="2"/>
          <w:numId w:val="1005"/>
        </w:numPr>
      </w:pPr>
      <w:r>
        <w:t xml:space="preserve">Freeman &amp; Ross,</w:t>
      </w:r>
      <w:r>
        <w:t xml:space="preserve"> </w:t>
      </w:r>
      <w:r>
        <w:rPr>
          <w:i/>
          <w:iCs/>
        </w:rPr>
        <w:t xml:space="preserve">Programming Skills for Data Science</w:t>
      </w:r>
    </w:p>
    <w:p>
      <w:pPr>
        <w:pStyle w:val="Compact"/>
        <w:numPr>
          <w:ilvl w:val="2"/>
          <w:numId w:val="1005"/>
        </w:numPr>
      </w:pPr>
      <w:r>
        <w:t xml:space="preserve">Hadley Wickham, Garrett Grolemund, and Mine Çetinkaya-Rundel,</w:t>
      </w:r>
      <w:r>
        <w:t xml:space="preserve"> </w:t>
      </w:r>
      <w:r>
        <w:rPr>
          <w:i/>
          <w:iCs/>
        </w:rPr>
        <w:t xml:space="preserve">R for Data Science: Import, Tidy, Transform, Visualize, and Model Data</w:t>
      </w:r>
      <w:r>
        <w:t xml:space="preserve">, 2nd ed. </w:t>
      </w:r>
      <w:hyperlink r:id="rId34">
        <w:r>
          <w:rPr>
            <w:rStyle w:val="Hyperlink"/>
          </w:rPr>
          <w:t xml:space="preserve">https://r4ds.hadley.nz</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Programming Book</w:t>
            </w:r>
          </w:p>
        </w:tc>
      </w:tr>
      <w:tr>
        <w:trPr>
          <w:cantSplit/>
        </w:trPr>
        <w:tc>
          <w:tcPr>
            <w:tcMar>
              <w:top w:w="108" w:type="dxa"/>
              <w:bottom w:w="108" w:type="dxa"/>
            </w:tcMar>
          </w:tcPr>
          <w:p>
            <w:pPr>
              <w:pStyle w:val="BodyText"/>
            </w:pPr>
            <w:pPr>
              <w:spacing w:before="16" w:after="16"/>
            </w:pPr>
            <w:r>
              <w:t xml:space="preserve">There are, in essence, three kinds of books that are useful for the class - a book on data management, a book on data visualization, and a book on data programming. For the first two, I’ve required the open access books by Weidmann and Healy (</w:t>
            </w:r>
            <w:r>
              <w:rPr>
                <w:b/>
                <w:bCs/>
              </w:rPr>
              <w:t xml:space="preserve">DMSS</w:t>
            </w:r>
            <w:r>
              <w:t xml:space="preserve"> </w:t>
            </w:r>
            <w:r>
              <w:t xml:space="preserve">and</w:t>
            </w:r>
            <w:r>
              <w:t xml:space="preserve"> </w:t>
            </w:r>
            <w:r>
              <w:rPr>
                <w:b/>
                <w:bCs/>
              </w:rPr>
              <w:t xml:space="preserve">DV</w:t>
            </w:r>
            <w:r>
              <w:t xml:space="preserve">, respectively). For the third, you have options. I recommend Braun and Murdoch (</w:t>
            </w:r>
            <w:r>
              <w:rPr>
                <w:b/>
                <w:bCs/>
              </w:rPr>
              <w:t xml:space="preserve">FCSP</w:t>
            </w:r>
            <w:r>
              <w:t xml:space="preserve">), which is a good general overview of the R language from a statistical programming perspecitve. Freeman &amp; Ross (</w:t>
            </w:r>
            <w:r>
              <w:rPr>
                <w:b/>
                <w:bCs/>
              </w:rPr>
              <w:t xml:space="preserve">PSDS</w:t>
            </w:r>
            <w:r>
              <w:t xml:space="preserve">) is a more general introduction to the overall data science technical environment, and Wickham et al (</w:t>
            </w:r>
            <w:r>
              <w:rPr>
                <w:b/>
                <w:bCs/>
              </w:rPr>
              <w:t xml:space="preserve">RDS</w:t>
            </w:r>
            <w:r>
              <w:t xml:space="preserve">) has the advantage of being open access (always useful).</w:t>
            </w:r>
            <w:r>
              <w:t xml:space="preserve"> </w:t>
            </w:r>
            <w:r>
              <w:rPr>
                <w:b/>
                <w:bCs/>
              </w:rPr>
              <w:t xml:space="preserve">PSDS</w:t>
            </w:r>
            <w:r>
              <w:t xml:space="preserve">, however, doesn’t have as detailed information on actual programming in it, and</w:t>
            </w:r>
            <w:r>
              <w:t xml:space="preserve"> </w:t>
            </w:r>
            <w:r>
              <w:rPr>
                <w:b/>
                <w:bCs/>
              </w:rPr>
              <w:t xml:space="preserve">RDW</w:t>
            </w:r>
            <w:r>
              <w:t xml:space="preserve"> </w:t>
            </w:r>
            <w:r>
              <w:t xml:space="preserve">but is primarily focused on the tidyverse, which our course is not exclusively focused on. We will cover all programming and scripting content in class, so the book you choose for background reference is up to you, but you will find it valuable to have one.</w:t>
            </w:r>
          </w:p>
          <w:p/>
        </w:tc>
      </w:tr>
    </w:tbl>
    <w:bookmarkEnd w:id="38"/>
    <w:bookmarkStart w:id="39" w:name="computing"/>
    <w:p>
      <w:pPr>
        <w:pStyle w:val="Heading2"/>
      </w:pPr>
      <w:r>
        <w:t xml:space="preserve">Computing</w:t>
      </w:r>
    </w:p>
    <w:p>
      <w:pPr>
        <w:pStyle w:val="FirstParagraph"/>
      </w:pPr>
      <w:r>
        <w:t xml:space="preserve">You will need access to a personal computer for this class. It will need to run a full operating system, where you have the ability to install local applications outside of app stores and have access to the command line. MacOS, Windows, and Linux are all fine. Tablet or web-book OSes - like Chromebooks or iPads - won’t be sufficient. Aside from the computer, all significant software we use will be free/open-source, and we’ll cover usage and installation in class.</w:t>
      </w:r>
    </w:p>
    <w:bookmarkEnd w:id="39"/>
    <w:bookmarkStart w:id="43" w:name="online-course-resources"/>
    <w:p>
      <w:pPr>
        <w:pStyle w:val="Heading2"/>
      </w:pPr>
      <w:r>
        <w:t xml:space="preserve">Online Course Resources</w:t>
      </w:r>
    </w:p>
    <w:p>
      <w:pPr>
        <w:pStyle w:val="FirstParagraph"/>
      </w:pPr>
      <w:r>
        <w:t xml:space="preserve">Blackboard is our internet-based course platform:</w:t>
      </w:r>
      <w:r>
        <w:t xml:space="preserve"> </w:t>
      </w:r>
      <w:hyperlink r:id="rId40">
        <w:r>
          <w:rPr>
            <w:rStyle w:val="Hyperlink"/>
          </w:rPr>
          <w:t xml:space="preserve">http://blackboard.syr.edu</w:t>
        </w:r>
      </w:hyperlink>
      <w:r>
        <w:t xml:space="preserve">. In it, you will find submission portals for assignments and a link to the</w:t>
      </w:r>
      <w:r>
        <w:t xml:space="preserve"> </w:t>
      </w:r>
      <w:hyperlink r:id="rId41">
        <w:r>
          <w:rPr>
            <w:rStyle w:val="Hyperlink"/>
          </w:rPr>
          <w:t xml:space="preserve">course webpage</w:t>
        </w:r>
      </w:hyperlink>
      <w:r>
        <w:t xml:space="preserve">, where you can find the course syllabus, problem sets, and links to readings.</w:t>
      </w:r>
    </w:p>
    <w:p>
      <w:pPr>
        <w:pStyle w:val="BodyText"/>
      </w:pPr>
      <w:r>
        <w:t xml:space="preserve">You can also link to our</w:t>
      </w:r>
      <w:r>
        <w:t xml:space="preserve"> </w:t>
      </w:r>
      <w:hyperlink r:id="rId42">
        <w:r>
          <w:rPr>
            <w:rStyle w:val="Hyperlink"/>
          </w:rPr>
          <w:t xml:space="preserve">course drive here</w:t>
        </w:r>
      </w:hyperlink>
      <w:r>
        <w:t xml:space="preserve">, which contains lecture slides, data sets, and some other useful things for the class.</w:t>
      </w:r>
    </w:p>
    <w:p>
      <w:pPr>
        <w:pStyle w:val="BodyText"/>
      </w:pPr>
      <w:r>
        <w:t xml:space="preserve">Please note that class attendance is the primary source of course-related announcements and material.</w:t>
      </w:r>
    </w:p>
    <w:bookmarkEnd w:id="43"/>
    <w:bookmarkEnd w:id="44"/>
    <w:bookmarkStart w:id="56" w:name="course-requirements"/>
    <w:p>
      <w:pPr>
        <w:pStyle w:val="Heading1"/>
      </w:pPr>
      <w:r>
        <w:t xml:space="preserve">Course Requirements</w:t>
      </w:r>
    </w:p>
    <w:bookmarkStart w:id="45"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6"/>
        </w:numPr>
      </w:pPr>
      <w:r>
        <w:t xml:space="preserve">Regular course participation and attendance (10%)</w:t>
      </w:r>
    </w:p>
    <w:p>
      <w:pPr>
        <w:pStyle w:val="Compact"/>
        <w:numPr>
          <w:ilvl w:val="0"/>
          <w:numId w:val="1006"/>
        </w:numPr>
      </w:pPr>
      <w:r>
        <w:t xml:space="preserve">Weekly Assignments (30%)</w:t>
      </w:r>
    </w:p>
    <w:p>
      <w:pPr>
        <w:pStyle w:val="Compact"/>
        <w:numPr>
          <w:ilvl w:val="0"/>
          <w:numId w:val="1006"/>
        </w:numPr>
      </w:pPr>
      <w:r>
        <w:t xml:space="preserve">Practicum (Take Home) (15%)</w:t>
      </w:r>
    </w:p>
    <w:p>
      <w:pPr>
        <w:pStyle w:val="Compact"/>
        <w:numPr>
          <w:ilvl w:val="0"/>
          <w:numId w:val="1006"/>
        </w:numPr>
      </w:pPr>
      <w:r>
        <w:t xml:space="preserve">Core Exam (In Class) (15%)</w:t>
      </w:r>
    </w:p>
    <w:p>
      <w:pPr>
        <w:pStyle w:val="Compact"/>
        <w:numPr>
          <w:ilvl w:val="0"/>
          <w:numId w:val="1006"/>
        </w:numPr>
      </w:pPr>
      <w:r>
        <w:t xml:space="preserve">Final Project (30%)</w:t>
      </w:r>
    </w:p>
    <w:bookmarkEnd w:id="45"/>
    <w:bookmarkStart w:id="48"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happen to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must miss more than a couple days, it’s a good idea to check in with me so that I don’t mark you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material, do the reading, get notes from a friend, and still complete the assignment if you are able (and make sure to look over any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8"/>
    <w:bookmarkStart w:id="51" w:name="assignments"/>
    <w:p>
      <w:pPr>
        <w:pStyle w:val="Heading2"/>
      </w:pPr>
      <w:r>
        <w:t xml:space="preserve">Assignments</w:t>
      </w:r>
    </w:p>
    <w:p>
      <w:pPr>
        <w:pStyle w:val="FirstParagraph"/>
      </w:pPr>
      <w:r>
        <w:t xml:space="preserve">There is an assignment each week in class,</w:t>
      </w:r>
      <w:r>
        <w:t xml:space="preserve"> </w:t>
      </w:r>
      <w:r>
        <w:rPr>
          <w:b/>
          <w:bCs/>
        </w:rPr>
        <w:t xml:space="preserve">due Thursday by class time</w:t>
      </w:r>
      <w:r>
        <w:t xml:space="preserve">.</w:t>
      </w:r>
    </w:p>
    <w:p>
      <w:pPr>
        <w:pStyle w:val="BodyText"/>
      </w:pPr>
      <w:r>
        <w:t xml:space="preserve">Assignments will vary in nature: some will be one-off problem sets, some may build on problem sets from a prior week. All material needed for an assignment will be covered by the Tuesday before the assignment is due (usually much earlier), and the assignment itself will be given a week ahead of time.</w:t>
      </w:r>
      <w:r>
        <w:t xml:space="preserve"> </w:t>
      </w:r>
      <w:r>
        <w:rPr>
          <w:b/>
          <w:bCs/>
        </w:rPr>
        <w:t xml:space="preserve">No assignment work is accepted after class</w:t>
      </w:r>
      <w:r>
        <w:t xml:space="preserve">, as we will go over answers for assignments in class.</w:t>
      </w:r>
    </w:p>
    <w:p>
      <w:pPr>
        <w:pStyle w:val="BodyText"/>
      </w:pPr>
      <w:r>
        <w:t xml:space="preserve">Students may miss up to two assignments with no penalty. Students may also work together on assignments - in fact, I encourage you to do so - although each student is ultimately responsible for their own learning and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Effort-Based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bookmarkEnd w:id="51"/>
    <w:bookmarkStart w:id="53" w:name="practicum"/>
    <w:p>
      <w:pPr>
        <w:pStyle w:val="Heading2"/>
      </w:pPr>
      <w:r>
        <w:t xml:space="preserve">Practicum</w:t>
      </w:r>
    </w:p>
    <w:p>
      <w:pPr>
        <w:pStyle w:val="FirstParagraph"/>
      </w:pPr>
      <w:r>
        <w:t xml:space="preserve">A practicum is a large assignment that is worth more and graded on a scale.</w:t>
      </w:r>
      <w:r>
        <w:rPr>
          <w:rStyle w:val="FootnoteReference"/>
        </w:rPr>
        <w:footnoteReference w:id="52"/>
      </w:r>
      <w:r>
        <w:t xml:space="preserve"> </w:t>
      </w:r>
      <w:r>
        <w:t xml:space="preserve">It is untimed, take-home, cumulative, and will be completed on your own time (and computer). Unlike the weekly assignments, you are not allowed to work together on the practicum. Essentially, think of it as take home test that complements the in-class core exam.</w:t>
      </w:r>
    </w:p>
    <w:bookmarkEnd w:id="53"/>
    <w:bookmarkStart w:id="54" w:name="core-exam"/>
    <w:p>
      <w:pPr>
        <w:pStyle w:val="Heading2"/>
      </w:pPr>
      <w:r>
        <w:t xml:space="preserve">Core Exam</w:t>
      </w:r>
    </w:p>
    <w:p>
      <w:pPr>
        <w:pStyle w:val="FirstParagraph"/>
      </w:pPr>
      <w:r>
        <w:t xml:space="preserve">The core exam will be in class. More information will be given as the exam gets closer.</w:t>
      </w:r>
    </w:p>
    <w:bookmarkEnd w:id="54"/>
    <w:bookmarkStart w:id="55" w:name="final-project"/>
    <w:p>
      <w:pPr>
        <w:pStyle w:val="Heading2"/>
      </w:pPr>
      <w:r>
        <w:t xml:space="preserve">Final Project</w:t>
      </w:r>
    </w:p>
    <w:p>
      <w:pPr>
        <w:pStyle w:val="FirstParagraph"/>
      </w:pPr>
      <w:r>
        <w:t xml:space="preserve">A project utilizing data of your own choice. Graduate students will have higher expectations than undergraduate students. More information will be given as the exam gets closer.</w:t>
      </w:r>
    </w:p>
    <w:bookmarkEnd w:id="55"/>
    <w:bookmarkEnd w:id="56"/>
    <w:bookmarkStart w:id="77" w:name="course-expectations-guidelines"/>
    <w:p>
      <w:pPr>
        <w:pStyle w:val="Heading1"/>
      </w:pPr>
      <w:r>
        <w:t xml:space="preserve">Course Expectations &amp; Guidelines</w:t>
      </w:r>
    </w:p>
    <w:bookmarkStart w:id="57"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7"/>
    <w:bookmarkStart w:id="59"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8">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59"/>
    <w:bookmarkStart w:id="63"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60"/>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the matter.</w:t>
            </w:r>
          </w:p>
          <w:p/>
        </w:tc>
      </w:tr>
    </w:tbl>
    <w:bookmarkEnd w:id="63"/>
    <w:bookmarkStart w:id="76" w:name="course-schedule"/>
    <w:p>
      <w:pPr>
        <w:pStyle w:val="Heading2"/>
      </w:pPr>
      <w:r>
        <w:t xml:space="preserve">Course Schedule</w:t>
      </w:r>
    </w:p>
    <w:p>
      <w:pPr>
        <w:pStyle w:val="FirstParagraph"/>
      </w:pPr>
      <w:r>
        <w:rPr>
          <w:i/>
          <w:iCs/>
        </w:rPr>
        <w:t xml:space="preserve">subject to change</w:t>
      </w:r>
    </w:p>
    <w:tbl>
      <w:tblPr>
        <w:tblStyle w:val="Table"/>
        <w:tblW w:type="pct" w:w="5000"/>
        <w:tblLayout w:type="fixed"/>
        <w:tblLook w:firstRow="1" w:lastRow="0" w:firstColumn="0" w:lastColumn="0" w:noHBand="0" w:noVBand="0" w:val="0020"/>
      </w:tblPr>
      <w:tblGrid>
        <w:gridCol w:w="559"/>
        <w:gridCol w:w="3354"/>
        <w:gridCol w:w="3168"/>
        <w:gridCol w:w="838"/>
      </w:tblGrid>
      <w:tr>
        <w:trPr>
          <w:tblHeader w:val="on"/>
        </w:trPr>
        <w:tc>
          <w:tcPr/>
          <w:p>
            <w:pPr>
              <w:pStyle w:val="Compact"/>
            </w:pPr>
            <w:r>
              <w:t xml:space="preserve">Week</w:t>
            </w:r>
          </w:p>
        </w:tc>
        <w:tc>
          <w:tcPr/>
          <w:p>
            <w:pPr>
              <w:pStyle w:val="Compact"/>
            </w:pPr>
            <w:r>
              <w:rPr>
                <w:b/>
                <w:bCs/>
              </w:rPr>
              <w:t xml:space="preserve">Topic</w:t>
            </w:r>
          </w:p>
        </w:tc>
        <w:tc>
          <w:tcPr/>
          <w:p>
            <w:pPr>
              <w:pStyle w:val="Compact"/>
            </w:pPr>
            <w:r>
              <w:rPr>
                <w:b/>
                <w:bCs/>
              </w:rPr>
              <w:t xml:space="preserve">Tools</w:t>
            </w:r>
          </w:p>
        </w:tc>
        <w:tc>
          <w:tcPr/>
          <w:p>
            <w:pPr>
              <w:pStyle w:val="Compact"/>
            </w:pPr>
          </w:p>
        </w:tc>
      </w:tr>
      <w:tr>
        <w:tc>
          <w:tcPr/>
          <w:p>
            <w:pPr>
              <w:pStyle w:val="Compact"/>
            </w:pPr>
          </w:p>
        </w:tc>
        <w:tc>
          <w:tcPr/>
          <w:p>
            <w:pPr>
              <w:pStyle w:val="Compact"/>
            </w:pPr>
            <w:hyperlink r:id="rId64">
              <w:r>
                <w:rPr>
                  <w:rStyle w:val="Hyperlink"/>
                </w:rPr>
                <w:t xml:space="preserve">Preliminaries</w:t>
              </w:r>
            </w:hyperlink>
          </w:p>
        </w:tc>
        <w:tc>
          <w:tcPr/>
          <w:p>
            <w:pPr>
              <w:pStyle w:val="Compact"/>
            </w:pPr>
          </w:p>
        </w:tc>
        <w:tc>
          <w:tcPr/>
          <w:p>
            <w:pPr>
              <w:pStyle w:val="Compact"/>
            </w:pPr>
          </w:p>
        </w:tc>
      </w:tr>
      <w:tr>
        <w:tc>
          <w:tcPr/>
          <w:p>
            <w:pPr>
              <w:pStyle w:val="Compact"/>
            </w:pPr>
            <w:r>
              <w:t xml:space="preserve">1</w:t>
            </w:r>
          </w:p>
        </w:tc>
        <w:tc>
          <w:tcPr/>
          <w:p>
            <w:pPr>
              <w:pStyle w:val="Compact"/>
            </w:pPr>
            <w:hyperlink r:id="rId65">
              <w:r>
                <w:rPr>
                  <w:rStyle w:val="Hyperlink"/>
                </w:rPr>
                <w:t xml:space="preserve">Course Introduction</w:t>
              </w:r>
            </w:hyperlink>
          </w:p>
        </w:tc>
        <w:tc>
          <w:tcPr/>
          <w:p>
            <w:pPr>
              <w:pStyle w:val="Compact"/>
            </w:pPr>
            <w:r>
              <w:t xml:space="preserve">Scripts; R and RStudio</w:t>
            </w:r>
          </w:p>
        </w:tc>
        <w:tc>
          <w:tcPr/>
          <w:p>
            <w:pPr>
              <w:pStyle w:val="Compact"/>
            </w:pPr>
          </w:p>
        </w:tc>
      </w:tr>
      <w:tr>
        <w:tc>
          <w:tcPr/>
          <w:p>
            <w:pPr>
              <w:pStyle w:val="Compact"/>
            </w:pPr>
            <w:r>
              <w:t xml:space="preserve">2</w:t>
            </w:r>
          </w:p>
        </w:tc>
        <w:tc>
          <w:tcPr/>
          <w:p>
            <w:pPr>
              <w:pStyle w:val="Compact"/>
            </w:pPr>
            <w:hyperlink r:id="rId66">
              <w:r>
                <w:rPr>
                  <w:rStyle w:val="Hyperlink"/>
                </w:rPr>
                <w:t xml:space="preserve">Reproducible Data Analyses</w:t>
              </w:r>
            </w:hyperlink>
          </w:p>
        </w:tc>
        <w:tc>
          <w:tcPr/>
          <w:p>
            <w:pPr>
              <w:pStyle w:val="Compact"/>
            </w:pPr>
            <w:r>
              <w:t xml:space="preserve">Markup Languages; Quarto</w:t>
            </w:r>
          </w:p>
        </w:tc>
        <w:tc>
          <w:tcPr/>
          <w:p>
            <w:pPr>
              <w:pStyle w:val="Compact"/>
            </w:pPr>
          </w:p>
        </w:tc>
      </w:tr>
      <w:tr>
        <w:tc>
          <w:tcPr/>
          <w:p>
            <w:pPr>
              <w:pStyle w:val="Compact"/>
            </w:pPr>
            <w:r>
              <w:t xml:space="preserve">3</w:t>
            </w:r>
          </w:p>
        </w:tc>
        <w:tc>
          <w:tcPr/>
          <w:p>
            <w:pPr>
              <w:pStyle w:val="Compact"/>
            </w:pPr>
            <w:hyperlink r:id="rId67">
              <w:r>
                <w:rPr>
                  <w:rStyle w:val="Hyperlink"/>
                </w:rPr>
                <w:t xml:space="preserve">File Management &amp; Version Control</w:t>
              </w:r>
            </w:hyperlink>
          </w:p>
        </w:tc>
        <w:tc>
          <w:tcPr/>
          <w:p>
            <w:pPr>
              <w:pStyle w:val="Compact"/>
            </w:pPr>
            <w:r>
              <w:t xml:space="preserve">Filesystems; git; GitHub</w:t>
            </w:r>
          </w:p>
        </w:tc>
        <w:tc>
          <w:tcPr/>
          <w:p>
            <w:pPr>
              <w:pStyle w:val="Compact"/>
            </w:pPr>
          </w:p>
        </w:tc>
      </w:tr>
      <w:tr>
        <w:tc>
          <w:tcPr/>
          <w:p>
            <w:pPr>
              <w:pStyle w:val="Compact"/>
            </w:pPr>
            <w:r>
              <w:t xml:space="preserve">4</w:t>
            </w:r>
          </w:p>
        </w:tc>
        <w:tc>
          <w:tcPr/>
          <w:p>
            <w:pPr>
              <w:pStyle w:val="Compact"/>
            </w:pPr>
            <w:hyperlink r:id="rId68">
              <w:r>
                <w:rPr>
                  <w:rStyle w:val="Hyperlink"/>
                </w:rPr>
                <w:t xml:space="preserve">A Field Guide to Data</w:t>
              </w:r>
            </w:hyperlink>
          </w:p>
        </w:tc>
        <w:tc>
          <w:tcPr/>
          <w:p>
            <w:pPr>
              <w:pStyle w:val="Compact"/>
            </w:pPr>
            <w:r>
              <w:t xml:space="preserve">Data Formats; surveys, readr; tidyr</w:t>
            </w:r>
          </w:p>
        </w:tc>
        <w:tc>
          <w:tcPr/>
          <w:p>
            <w:pPr>
              <w:pStyle w:val="Compact"/>
            </w:pPr>
          </w:p>
        </w:tc>
      </w:tr>
      <w:tr>
        <w:tc>
          <w:tcPr/>
          <w:p>
            <w:pPr>
              <w:pStyle w:val="Compact"/>
            </w:pPr>
            <w:r>
              <w:t xml:space="preserve">5</w:t>
            </w:r>
          </w:p>
        </w:tc>
        <w:tc>
          <w:tcPr/>
          <w:p>
            <w:pPr>
              <w:pStyle w:val="Compact"/>
            </w:pPr>
            <w:hyperlink r:id="rId69">
              <w:r>
                <w:rPr>
                  <w:rStyle w:val="Hyperlink"/>
                </w:rPr>
                <w:t xml:space="preserve">Structural Data Manipulation</w:t>
              </w:r>
            </w:hyperlink>
          </w:p>
        </w:tc>
        <w:tc>
          <w:tcPr/>
          <w:p>
            <w:pPr>
              <w:pStyle w:val="Compact"/>
            </w:pPr>
            <w:r>
              <w:t xml:space="preserve">dplyr; srvyr</w:t>
            </w:r>
          </w:p>
        </w:tc>
        <w:tc>
          <w:tcPr/>
          <w:p>
            <w:pPr>
              <w:pStyle w:val="Compact"/>
            </w:pPr>
          </w:p>
        </w:tc>
      </w:tr>
      <w:tr>
        <w:tc>
          <w:tcPr/>
          <w:p>
            <w:pPr>
              <w:pStyle w:val="Compact"/>
            </w:pPr>
            <w:r>
              <w:t xml:space="preserve">6</w:t>
            </w:r>
          </w:p>
        </w:tc>
        <w:tc>
          <w:tcPr/>
          <w:p>
            <w:pPr>
              <w:pStyle w:val="Compact"/>
            </w:pPr>
            <w:hyperlink r:id="rId70">
              <w:r>
                <w:rPr>
                  <w:rStyle w:val="Hyperlink"/>
                </w:rPr>
                <w:t xml:space="preserve">Data Visualization I</w:t>
              </w:r>
            </w:hyperlink>
          </w:p>
        </w:tc>
        <w:tc>
          <w:tcPr/>
          <w:p>
            <w:pPr>
              <w:pStyle w:val="Compact"/>
            </w:pPr>
            <w:r>
              <w:t xml:space="preserve">Grammar of Graphics; ggplot2</w:t>
            </w:r>
          </w:p>
        </w:tc>
        <w:tc>
          <w:tcPr/>
          <w:p>
            <w:pPr>
              <w:pStyle w:val="Compact"/>
            </w:pPr>
          </w:p>
        </w:tc>
      </w:tr>
      <w:tr>
        <w:tc>
          <w:tcPr/>
          <w:p>
            <w:pPr>
              <w:pStyle w:val="Compact"/>
            </w:pPr>
            <w:r>
              <w:t xml:space="preserve">7</w:t>
            </w:r>
          </w:p>
        </w:tc>
        <w:tc>
          <w:tcPr/>
          <w:p>
            <w:pPr>
              <w:pStyle w:val="Compact"/>
            </w:pPr>
            <w:hyperlink r:id="rId71">
              <w:r>
                <w:rPr>
                  <w:rStyle w:val="Hyperlink"/>
                </w:rPr>
                <w:t xml:space="preserve">Data Visualization II</w:t>
              </w:r>
            </w:hyperlink>
          </w:p>
        </w:tc>
        <w:tc>
          <w:tcPr/>
          <w:p>
            <w:pPr>
              <w:pStyle w:val="Compact"/>
            </w:pPr>
            <w:r>
              <w:t xml:space="preserve">ggplot2</w:t>
            </w:r>
          </w:p>
        </w:tc>
        <w:tc>
          <w:tcPr/>
          <w:p>
            <w:pPr>
              <w:pStyle w:val="Compact"/>
            </w:pPr>
          </w:p>
        </w:tc>
      </w:tr>
      <w:tr>
        <w:tc>
          <w:tcPr/>
          <w:p>
            <w:pPr>
              <w:pStyle w:val="Compact"/>
            </w:pPr>
            <w:r>
              <w:t xml:space="preserve">8</w:t>
            </w:r>
          </w:p>
        </w:tc>
        <w:tc>
          <w:tcPr/>
          <w:p>
            <w:pPr>
              <w:pStyle w:val="Compact"/>
            </w:pPr>
            <w:r>
              <w:rPr>
                <w:b/>
                <w:bCs/>
              </w:rPr>
              <w:t xml:space="preserve">Core Exam (Thursday, October 16)</w:t>
            </w:r>
          </w:p>
        </w:tc>
        <w:tc>
          <w:tcPr/>
          <w:p>
            <w:pPr>
              <w:pStyle w:val="Compact"/>
            </w:pPr>
          </w:p>
        </w:tc>
        <w:tc>
          <w:tcPr/>
          <w:p>
            <w:pPr>
              <w:pStyle w:val="Compact"/>
            </w:pPr>
          </w:p>
        </w:tc>
      </w:tr>
      <w:tr>
        <w:tc>
          <w:tcPr/>
          <w:p>
            <w:pPr>
              <w:pStyle w:val="Compact"/>
            </w:pPr>
            <w:r>
              <w:t xml:space="preserve">9</w:t>
            </w:r>
          </w:p>
        </w:tc>
        <w:tc>
          <w:tcPr/>
          <w:p>
            <w:pPr>
              <w:pStyle w:val="Compact"/>
            </w:pPr>
            <w:hyperlink r:id="rId72">
              <w:r>
                <w:rPr>
                  <w:rStyle w:val="Hyperlink"/>
                </w:rPr>
                <w:t xml:space="preserve">Workflow &amp; Data Retrieval</w:t>
              </w:r>
            </w:hyperlink>
          </w:p>
        </w:tc>
        <w:tc>
          <w:tcPr/>
          <w:p>
            <w:pPr>
              <w:pStyle w:val="Compact"/>
            </w:pPr>
            <w:r>
              <w:t xml:space="preserve">tidycensus; APIs; database/SQL overview</w:t>
            </w:r>
          </w:p>
        </w:tc>
        <w:tc>
          <w:tcPr/>
          <w:p>
            <w:pPr>
              <w:pStyle w:val="Compact"/>
            </w:pPr>
          </w:p>
        </w:tc>
      </w:tr>
      <w:tr>
        <w:tc>
          <w:tcPr/>
          <w:p>
            <w:pPr>
              <w:pStyle w:val="Compact"/>
            </w:pPr>
            <w:r>
              <w:t xml:space="preserve">10</w:t>
            </w:r>
          </w:p>
        </w:tc>
        <w:tc>
          <w:tcPr/>
          <w:p>
            <w:pPr>
              <w:pStyle w:val="Compact"/>
            </w:pPr>
            <w:hyperlink r:id="rId73">
              <w:r>
                <w:rPr>
                  <w:rStyle w:val="Hyperlink"/>
                </w:rPr>
                <w:t xml:space="preserve">Social Networks &amp; Network Data</w:t>
              </w:r>
            </w:hyperlink>
          </w:p>
        </w:tc>
        <w:tc>
          <w:tcPr/>
          <w:p>
            <w:pPr>
              <w:pStyle w:val="Compact"/>
            </w:pPr>
            <w:r>
              <w:t xml:space="preserve">iGraph; statnet</w:t>
            </w:r>
          </w:p>
        </w:tc>
        <w:tc>
          <w:tcPr/>
          <w:p>
            <w:pPr>
              <w:pStyle w:val="Compact"/>
            </w:pPr>
          </w:p>
        </w:tc>
      </w:tr>
      <w:tr>
        <w:tc>
          <w:tcPr/>
          <w:p>
            <w:pPr>
              <w:pStyle w:val="Compact"/>
            </w:pPr>
            <w:r>
              <w:t xml:space="preserve">11</w:t>
            </w:r>
          </w:p>
        </w:tc>
        <w:tc>
          <w:tcPr/>
          <w:p>
            <w:pPr>
              <w:pStyle w:val="Compact"/>
            </w:pPr>
            <w:hyperlink r:id="rId74">
              <w:r>
                <w:rPr>
                  <w:rStyle w:val="Hyperlink"/>
                </w:rPr>
                <w:t xml:space="preserve">Cartography</w:t>
              </w:r>
            </w:hyperlink>
          </w:p>
        </w:tc>
        <w:tc>
          <w:tcPr/>
          <w:p>
            <w:pPr>
              <w:pStyle w:val="Compact"/>
            </w:pPr>
            <w:r>
              <w:t xml:space="preserve">tidyverse mapping; color scales; projection</w:t>
            </w:r>
          </w:p>
        </w:tc>
        <w:tc>
          <w:tcPr/>
          <w:p>
            <w:pPr>
              <w:pStyle w:val="Compact"/>
            </w:pPr>
          </w:p>
        </w:tc>
      </w:tr>
      <w:tr>
        <w:tc>
          <w:tcPr/>
          <w:p>
            <w:pPr>
              <w:pStyle w:val="Compact"/>
            </w:pPr>
            <w:r>
              <w:t xml:space="preserve">12</w:t>
            </w:r>
          </w:p>
        </w:tc>
        <w:tc>
          <w:tcPr/>
          <w:p>
            <w:pPr>
              <w:pStyle w:val="Compact"/>
            </w:pPr>
            <w:hyperlink r:id="rId75">
              <w:r>
                <w:rPr>
                  <w:rStyle w:val="Hyperlink"/>
                </w:rPr>
                <w:t xml:space="preserve">Geographic Data</w:t>
              </w:r>
            </w:hyperlink>
          </w:p>
        </w:tc>
        <w:tc>
          <w:tcPr/>
          <w:p>
            <w:pPr>
              <w:pStyle w:val="Compact"/>
            </w:pPr>
            <w:r>
              <w:t xml:space="preserve">sf; tigris; mapgl; mapbox; osm</w:t>
            </w:r>
          </w:p>
        </w:tc>
        <w:tc>
          <w:tcPr/>
          <w:p>
            <w:pPr>
              <w:pStyle w:val="Compact"/>
            </w:pPr>
          </w:p>
        </w:tc>
      </w:tr>
      <w:tr>
        <w:tc>
          <w:tcPr/>
          <w:p>
            <w:pPr>
              <w:pStyle w:val="Compact"/>
            </w:pPr>
            <w:r>
              <w:t xml:space="preserve">13</w:t>
            </w:r>
          </w:p>
        </w:tc>
        <w:tc>
          <w:tcPr/>
          <w:p>
            <w:pPr>
              <w:pStyle w:val="Compact"/>
            </w:pPr>
            <w:r>
              <w:t xml:space="preserve">TBD</w:t>
            </w:r>
          </w:p>
        </w:tc>
        <w:tc>
          <w:tcPr/>
          <w:p>
            <w:pPr>
              <w:pStyle w:val="Compact"/>
            </w:pPr>
            <w:r>
              <w:t xml:space="preserve">TBD</w:t>
            </w:r>
          </w:p>
        </w:tc>
        <w:tc>
          <w:tcPr/>
          <w:p>
            <w:pPr>
              <w:pStyle w:val="Compact"/>
            </w:pPr>
          </w:p>
        </w:tc>
      </w:tr>
      <w:tr>
        <w:tc>
          <w:tcPr/>
          <w:p>
            <w:pPr>
              <w:pStyle w:val="Compact"/>
            </w:pPr>
            <w:r>
              <w:t xml:space="preserve">14</w:t>
            </w:r>
          </w:p>
        </w:tc>
        <w:tc>
          <w:tcPr/>
          <w:p>
            <w:pPr>
              <w:pStyle w:val="Compact"/>
            </w:pPr>
            <w:r>
              <w:t xml:space="preserve">Project Work</w:t>
            </w:r>
          </w:p>
        </w:tc>
        <w:tc>
          <w:tcPr/>
          <w:p>
            <w:pPr>
              <w:pStyle w:val="Compact"/>
            </w:pPr>
          </w:p>
        </w:tc>
        <w:tc>
          <w:tcPr/>
          <w:p>
            <w:pPr>
              <w:pStyle w:val="Compact"/>
            </w:pPr>
          </w:p>
        </w:tc>
      </w:tr>
      <w:tr>
        <w:tc>
          <w:tcPr/>
          <w:p>
            <w:pPr>
              <w:pStyle w:val="Compact"/>
            </w:pPr>
            <w:r>
              <w:t xml:space="preserve">15</w:t>
            </w:r>
          </w:p>
        </w:tc>
        <w:tc>
          <w:tcPr/>
          <w:p>
            <w:pPr>
              <w:pStyle w:val="Compact"/>
            </w:pPr>
            <w:r>
              <w:t xml:space="preserve">Project Presentations</w:t>
            </w:r>
          </w:p>
        </w:tc>
        <w:tc>
          <w:tcPr/>
          <w:p>
            <w:pPr>
              <w:pStyle w:val="Compact"/>
            </w:pPr>
          </w:p>
        </w:tc>
        <w:tc>
          <w:tcPr/>
          <w:p>
            <w:pPr>
              <w:pStyle w:val="Compact"/>
            </w:pPr>
          </w:p>
        </w:tc>
      </w:tr>
      <w:tr>
        <w:tc>
          <w:tcPr/>
          <w:p>
            <w:pPr>
              <w:pStyle w:val="Compact"/>
            </w:pPr>
            <w:r>
              <w:t xml:space="preserve">F</w:t>
            </w:r>
          </w:p>
        </w:tc>
        <w:tc>
          <w:tcPr/>
          <w:p>
            <w:pPr>
              <w:pStyle w:val="Compact"/>
            </w:pPr>
            <w:r>
              <w:rPr>
                <w:b/>
                <w:bCs/>
              </w:rPr>
              <w:t xml:space="preserve">Finals Week (Project Due)</w:t>
            </w:r>
          </w:p>
        </w:tc>
        <w:tc>
          <w:tcPr/>
          <w:p>
            <w:pPr>
              <w:pStyle w:val="Compact"/>
            </w:pPr>
          </w:p>
        </w:tc>
        <w:tc>
          <w:tcPr/>
          <w:p>
            <w:pPr>
              <w:pStyle w:val="Compact"/>
            </w:pPr>
          </w:p>
        </w:tc>
      </w:tr>
    </w:tbl>
    <w:p>
      <w:r>
        <w:pict>
          <v:rect style="width:0;height:1.5pt" o:hralign="center" o:hrstd="t" o:hr="t"/>
        </w:pict>
      </w:r>
    </w:p>
    <w:p>
      <w:pPr>
        <w:pStyle w:val="FirstParagraph"/>
      </w:pPr>
      <w:r>
        <w:rPr>
          <w:i/>
          <w:iCs/>
        </w:rPr>
        <w:t xml:space="preserve">Advanced Topics (if we have time)</w:t>
      </w:r>
    </w:p>
    <w:tbl>
      <w:tblPr>
        <w:tblStyle w:val="Table"/>
        <w:tblW w:type="pct" w:w="5000"/>
        <w:tblLayout w:type="fixed"/>
        <w:tblLook w:firstRow="1" w:lastRow="0" w:firstColumn="0" w:lastColumn="0" w:noHBand="0" w:noVBand="0" w:val="0020"/>
      </w:tblPr>
      <w:tblGrid>
        <w:gridCol w:w="819"/>
        <w:gridCol w:w="4369"/>
        <w:gridCol w:w="1502"/>
        <w:gridCol w:w="1228"/>
      </w:tblGrid>
      <w:tr>
        <w:trPr>
          <w:tblHeader w:val="on"/>
        </w:trPr>
        <w:tc>
          <w:tcPr/>
          <w:p>
            <w:pPr>
              <w:pStyle w:val="Compact"/>
            </w:pPr>
            <w:r>
              <w:t xml:space="preserve">Week</w:t>
            </w:r>
          </w:p>
        </w:tc>
        <w:tc>
          <w:tcPr/>
          <w:p>
            <w:pPr>
              <w:pStyle w:val="Compact"/>
            </w:pPr>
            <w:r>
              <w:rPr>
                <w:b/>
                <w:bCs/>
              </w:rPr>
              <w:t xml:space="preserve">Topic</w:t>
            </w:r>
          </w:p>
        </w:tc>
        <w:tc>
          <w:tcPr/>
          <w:p>
            <w:pPr>
              <w:pStyle w:val="Compact"/>
            </w:pPr>
            <w:r>
              <w:rPr>
                <w:b/>
                <w:bCs/>
              </w:rPr>
              <w:t xml:space="preserve">Tools</w:t>
            </w:r>
          </w:p>
        </w:tc>
        <w:tc>
          <w:tcPr/>
          <w:p>
            <w:pPr>
              <w:pStyle w:val="Compact"/>
            </w:pPr>
          </w:p>
        </w:tc>
      </w:tr>
      <w:tr>
        <w:tc>
          <w:tcPr/>
          <w:p>
            <w:pPr>
              <w:pStyle w:val="Compact"/>
            </w:pPr>
          </w:p>
        </w:tc>
        <w:tc>
          <w:tcPr/>
          <w:p>
            <w:pPr>
              <w:pStyle w:val="Compact"/>
            </w:pPr>
            <w:r>
              <w:t xml:space="preserve">Text Data &amp; Data Scraping</w:t>
            </w:r>
          </w:p>
        </w:tc>
        <w:tc>
          <w:tcPr/>
          <w:p>
            <w:pPr>
              <w:pStyle w:val="Compact"/>
            </w:pPr>
          </w:p>
        </w:tc>
        <w:tc>
          <w:tcPr/>
          <w:p>
            <w:pPr>
              <w:pStyle w:val="Compact"/>
            </w:pPr>
          </w:p>
        </w:tc>
      </w:tr>
      <w:tr>
        <w:tc>
          <w:tcPr/>
          <w:p>
            <w:pPr>
              <w:pStyle w:val="Compact"/>
            </w:pPr>
          </w:p>
        </w:tc>
        <w:tc>
          <w:tcPr/>
          <w:p>
            <w:pPr>
              <w:pStyle w:val="Compact"/>
            </w:pPr>
            <w:r>
              <w:t xml:space="preserve">Statistical Models</w:t>
            </w:r>
          </w:p>
        </w:tc>
        <w:tc>
          <w:tcPr/>
          <w:p>
            <w:pPr>
              <w:pStyle w:val="Compact"/>
            </w:pPr>
          </w:p>
        </w:tc>
        <w:tc>
          <w:tcPr/>
          <w:p>
            <w:pPr>
              <w:pStyle w:val="Compact"/>
            </w:pPr>
          </w:p>
        </w:tc>
      </w:tr>
      <w:tr>
        <w:tc>
          <w:tcPr/>
          <w:p>
            <w:pPr>
              <w:pStyle w:val="Compact"/>
            </w:pPr>
          </w:p>
        </w:tc>
        <w:tc>
          <w:tcPr/>
          <w:p>
            <w:pPr>
              <w:pStyle w:val="Compact"/>
            </w:pPr>
            <w:r>
              <w:t xml:space="preserve">Missing Data</w:t>
            </w:r>
          </w:p>
        </w:tc>
        <w:tc>
          <w:tcPr/>
          <w:p>
            <w:pPr>
              <w:pStyle w:val="Compact"/>
            </w:pPr>
          </w:p>
        </w:tc>
        <w:tc>
          <w:tcPr/>
          <w:p>
            <w:pPr>
              <w:pStyle w:val="Compact"/>
            </w:pPr>
          </w:p>
        </w:tc>
      </w:tr>
      <w:tr>
        <w:tc>
          <w:tcPr/>
          <w:p>
            <w:pPr>
              <w:pStyle w:val="Compact"/>
            </w:pPr>
          </w:p>
        </w:tc>
        <w:tc>
          <w:tcPr/>
          <w:p>
            <w:pPr>
              <w:pStyle w:val="Compact"/>
            </w:pPr>
            <w:r>
              <w:t xml:space="preserve">Web Apps &amp; Visualization</w:t>
            </w:r>
          </w:p>
        </w:tc>
        <w:tc>
          <w:tcPr/>
          <w:p>
            <w:pPr>
              <w:pStyle w:val="Compact"/>
            </w:pPr>
            <w:r>
              <w:t xml:space="preserve">quarto, shiny</w:t>
            </w:r>
          </w:p>
        </w:tc>
        <w:tc>
          <w:tcPr/>
          <w:p>
            <w:pPr>
              <w:pStyle w:val="Compact"/>
            </w:pPr>
          </w:p>
        </w:tc>
      </w:tr>
      <w:tr>
        <w:tc>
          <w:tcPr/>
          <w:p>
            <w:pPr>
              <w:pStyle w:val="Compact"/>
            </w:pPr>
          </w:p>
        </w:tc>
        <w:tc>
          <w:tcPr/>
          <w:p>
            <w:pPr>
              <w:pStyle w:val="Compact"/>
            </w:pPr>
            <w:r>
              <w:t xml:space="preserve">AI Pair Programming &amp;</w:t>
            </w:r>
            <w:r>
              <w:t xml:space="preserve"> </w:t>
            </w:r>
            <w:r>
              <w:t xml:space="preserve">“Vibe Coding”</w:t>
            </w:r>
          </w:p>
        </w:tc>
        <w:tc>
          <w:tcPr/>
          <w:p>
            <w:pPr>
              <w:pStyle w:val="Compact"/>
            </w:pPr>
            <w:r>
              <w:t xml:space="preserve">github copilot</w:t>
            </w:r>
          </w:p>
        </w:tc>
        <w:tc>
          <w:tcPr/>
          <w:p>
            <w:pPr>
              <w:pStyle w:val="Compact"/>
            </w:pPr>
          </w:p>
        </w:tc>
      </w:tr>
      <w:tr>
        <w:tc>
          <w:tcPr/>
          <w:p>
            <w:pPr>
              <w:pStyle w:val="Compact"/>
            </w:pPr>
          </w:p>
        </w:tc>
        <w:tc>
          <w:tcPr/>
          <w:p>
            <w:pPr>
              <w:pStyle w:val="Compact"/>
            </w:pPr>
            <w:r>
              <w:t xml:space="preserve">Local LLMs</w:t>
            </w:r>
          </w:p>
        </w:tc>
        <w:tc>
          <w:tcPr/>
          <w:p>
            <w:pPr>
              <w:pStyle w:val="Compact"/>
            </w:pPr>
          </w:p>
        </w:tc>
        <w:tc>
          <w:tcPr/>
          <w:p>
            <w:pPr>
              <w:pStyle w:val="Compact"/>
            </w:pPr>
          </w:p>
        </w:tc>
      </w:tr>
    </w:tbl>
    <w:bookmarkEnd w:id="76"/>
    <w:bookmarkEnd w:id="77"/>
    <w:bookmarkStart w:id="103"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8">
        <w:r>
          <w:rPr>
            <w:rStyle w:val="Hyperlink"/>
          </w:rPr>
          <w:t xml:space="preserve">here</w:t>
        </w:r>
      </w:hyperlink>
      <w:r>
        <w:t xml:space="preserve">.</w:t>
      </w:r>
    </w:p>
    <w:bookmarkStart w:id="79"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9"/>
    <w:bookmarkStart w:id="82"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80">
        <w:r>
          <w:rPr>
            <w:rStyle w:val="Hyperlink"/>
          </w:rPr>
          <w:t xml:space="preserve">Syracuse University Academic Integrity Policy</w:t>
        </w:r>
      </w:hyperlink>
      <w:r>
        <w:t xml:space="preserve"> </w:t>
      </w:r>
      <w:r>
        <w:t xml:space="preserve">can be viewed by visiting the</w:t>
      </w:r>
      <w:r>
        <w:t xml:space="preserve"> </w:t>
      </w:r>
      <w:hyperlink r:id="rId81">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2"/>
    <w:bookmarkStart w:id="84"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3">
        <w:r>
          <w:rPr>
            <w:rStyle w:val="Hyperlink"/>
          </w:rPr>
          <w:t xml:space="preserve">general campus AI policies here</w:t>
        </w:r>
      </w:hyperlink>
      <w:r>
        <w:t xml:space="preserve">.</w:t>
      </w:r>
    </w:p>
    <w:bookmarkEnd w:id="84"/>
    <w:bookmarkStart w:id="85"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5"/>
    <w:bookmarkStart w:id="89"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6">
        <w:r>
          <w:rPr>
            <w:rStyle w:val="Hyperlink"/>
          </w:rPr>
          <w:t xml:space="preserve">Faculty: Information for Faculty: Non-attendance or Stopped Attending</w:t>
        </w:r>
      </w:hyperlink>
      <w:r>
        <w:t xml:space="preserve"> </w:t>
      </w:r>
      <w:hyperlink r:id="rId87">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8">
        <w:r>
          <w:rPr>
            <w:rStyle w:val="Hyperlink"/>
          </w:rPr>
          <w:t xml:space="preserve">Student Outreach and Support: Absence Notifications</w:t>
        </w:r>
      </w:hyperlink>
      <w:r>
        <w:t xml:space="preserve">.</w:t>
      </w:r>
    </w:p>
    <w:bookmarkEnd w:id="89"/>
    <w:bookmarkStart w:id="93"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90">
        <w:r>
          <w:rPr>
            <w:rStyle w:val="Hyperlink"/>
          </w:rPr>
          <w:t xml:space="preserve">Answers Blackboard</w:t>
        </w:r>
      </w:hyperlink>
      <w:r>
        <w:t xml:space="preserve">; alternatively, you can contact Information Technology Services by sending an email to</w:t>
      </w:r>
      <w:r>
        <w:t xml:space="preserve"> </w:t>
      </w:r>
      <w:hyperlink r:id="rId91">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2">
        <w:r>
          <w:rPr>
            <w:rStyle w:val="Hyperlink"/>
          </w:rPr>
          <w:t xml:space="preserve">ITS website</w:t>
        </w:r>
      </w:hyperlink>
      <w:r>
        <w:t xml:space="preserve">.</w:t>
      </w:r>
    </w:p>
    <w:bookmarkEnd w:id="93"/>
    <w:bookmarkStart w:id="95"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4">
        <w:r>
          <w:rPr>
            <w:rStyle w:val="Hyperlink"/>
          </w:rPr>
          <w:t xml:space="preserve">equalopp@syr.edu</w:t>
        </w:r>
      </w:hyperlink>
      <w:r>
        <w:t xml:space="preserve">; or by telephone: 315-443-4018.</w:t>
      </w:r>
    </w:p>
    <w:bookmarkEnd w:id="95"/>
    <w:bookmarkStart w:id="96"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6"/>
    <w:bookmarkStart w:id="98"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7">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8"/>
    <w:bookmarkStart w:id="100" w:name="faith-and-religious-accommodations"/>
    <w:p>
      <w:pPr>
        <w:pStyle w:val="Heading2"/>
      </w:pPr>
      <w:r>
        <w:t xml:space="preserve">🌐 Faith and Religious Accommodations</w:t>
      </w:r>
    </w:p>
    <w:p>
      <w:pPr>
        <w:pStyle w:val="FirstParagraph"/>
      </w:pPr>
      <w:hyperlink r:id="rId99">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00"/>
    <w:bookmarkStart w:id="102"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1">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I’ll be around for the half an hour after class each Tuesday and Thursday until 4, and my office is right next door to the classroom. Feel free to stay after and meet with me. I’ll also be around after office hours until at least 12:30 each Tuesday and Thursday according to student need.</w:t>
      </w:r>
    </w:p>
  </w:footnote>
  <w:footnote w:id="52">
    <w:p>
      <w:pPr>
        <w:pStyle w:val="FootnoteText"/>
      </w:pPr>
      <w:r>
        <w:rPr>
          <w:rStyle w:val="FootnoteReference"/>
        </w:rPr>
        <w:footnoteRef/>
      </w:r>
      <w:r>
        <w:t xml:space="preserve"> </w:t>
      </w:r>
      <w:r>
        <w:t xml:space="preserve">While regular weekly assignments are evaluated on an effort based, check/no-check system, on the practicum, you’ll receive a certain number of points out of the total, like a test.</w:t>
      </w:r>
    </w:p>
  </w:footnote>
  <w:footnote w:id="60">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64" Target="assignments/assign1.qmd" TargetMode="External" /><Relationship Type="http://schemas.openxmlformats.org/officeDocument/2006/relationships/hyperlink" Id="rId72" Target="assignments/assign10.qmd" TargetMode="External" /><Relationship Type="http://schemas.openxmlformats.org/officeDocument/2006/relationships/hyperlink" Id="rId73" Target="assignments/assign11.qmd" TargetMode="External" /><Relationship Type="http://schemas.openxmlformats.org/officeDocument/2006/relationships/hyperlink" Id="rId74" Target="assignments/assign12.qmd" TargetMode="External" /><Relationship Type="http://schemas.openxmlformats.org/officeDocument/2006/relationships/hyperlink" Id="rId75" Target="assignments/assign13.qmd" TargetMode="External" /><Relationship Type="http://schemas.openxmlformats.org/officeDocument/2006/relationships/hyperlink" Id="rId65" Target="assignments/assign2.qmd" TargetMode="External" /><Relationship Type="http://schemas.openxmlformats.org/officeDocument/2006/relationships/hyperlink" Id="rId66" Target="assignments/assign3.qmd" TargetMode="External" /><Relationship Type="http://schemas.openxmlformats.org/officeDocument/2006/relationships/hyperlink" Id="rId67" Target="assignments/assign4.qmd" TargetMode="External" /><Relationship Type="http://schemas.openxmlformats.org/officeDocument/2006/relationships/hyperlink" Id="rId68" Target="assignments/assign5.qmd" TargetMode="External" /><Relationship Type="http://schemas.openxmlformats.org/officeDocument/2006/relationships/hyperlink" Id="rId69" Target="assignments/assign6.qmd" TargetMode="External" /><Relationship Type="http://schemas.openxmlformats.org/officeDocument/2006/relationships/hyperlink" Id="rId70" Target="assignments/assign7.qmd" TargetMode="External" /><Relationship Type="http://schemas.openxmlformats.org/officeDocument/2006/relationships/hyperlink" Id="rId71" Target="assignments/assign8.qmd" TargetMode="External" /><Relationship Type="http://schemas.openxmlformats.org/officeDocument/2006/relationships/hyperlink" Id="rId40" Target="http://blackboard.syr.edu" TargetMode="External" /><Relationship Type="http://schemas.openxmlformats.org/officeDocument/2006/relationships/hyperlink" Id="rId92" Target="http://its.syr.edu/its_service_center" TargetMode="External" /><Relationship Type="http://schemas.openxmlformats.org/officeDocument/2006/relationships/hyperlink" Id="rId58" Target="http://jacklreilly.github.io" TargetMode="External" /><Relationship Type="http://schemas.openxmlformats.org/officeDocument/2006/relationships/hyperlink" Id="rId86" Target="http://registrar.syr.edu/faculty-staff/non-attendance/" TargetMode="External" /><Relationship Type="http://schemas.openxmlformats.org/officeDocument/2006/relationships/hyperlink" Id="rId87" Target="http://registrar.syr.edu/students/non-attendance/"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101" Target="https://ese.syr.edu/bewell/" TargetMode="External" /><Relationship Type="http://schemas.openxmlformats.org/officeDocument/2006/relationships/hyperlink" Id="rId88" Target="https://experience.syracuse.edu/student-outreach/student-support/absence-notifications/" TargetMode="External" /><Relationship Type="http://schemas.openxmlformats.org/officeDocument/2006/relationships/hyperlink" Id="rId83"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78" Target="https://policies.syr.edu" TargetMode="External" /><Relationship Type="http://schemas.openxmlformats.org/officeDocument/2006/relationships/hyperlink" Id="rId81" Target="https://policies.syr.edu/" TargetMode="External" /><Relationship Type="http://schemas.openxmlformats.org/officeDocument/2006/relationships/hyperlink" Id="rId80" Target="https://policies.syr.edu/policies/academic-rules-student-responsibilities-and-services/academic-integrity-policy/" TargetMode="External" /><Relationship Type="http://schemas.openxmlformats.org/officeDocument/2006/relationships/hyperlink" Id="rId99" Target="https://policies.syr.edu/policies/university-governance-ethics-integrity-and-legal-compliance/religious-observances-policy/"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90" Target="https://su-jsm.atlassian.net/wiki/x/zcUzCQ"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97" Target="mailto:disabilityresources@syr.edu" TargetMode="External" /><Relationship Type="http://schemas.openxmlformats.org/officeDocument/2006/relationships/hyperlink" Id="rId94" Target="mailto:equalopp@syr.edu" TargetMode="External" /><Relationship Type="http://schemas.openxmlformats.org/officeDocument/2006/relationships/hyperlink" Id="rId91" Target="mailto:help@syr.edu" TargetMode="External" /><Relationship Type="http://schemas.openxmlformats.org/officeDocument/2006/relationships/hyperlink" Id="rId23"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64" Target="assignments/assign1.qmd" TargetMode="External" /><Relationship Type="http://schemas.openxmlformats.org/officeDocument/2006/relationships/hyperlink" Id="rId72" Target="assignments/assign10.qmd" TargetMode="External" /><Relationship Type="http://schemas.openxmlformats.org/officeDocument/2006/relationships/hyperlink" Id="rId73" Target="assignments/assign11.qmd" TargetMode="External" /><Relationship Type="http://schemas.openxmlformats.org/officeDocument/2006/relationships/hyperlink" Id="rId74" Target="assignments/assign12.qmd" TargetMode="External" /><Relationship Type="http://schemas.openxmlformats.org/officeDocument/2006/relationships/hyperlink" Id="rId75" Target="assignments/assign13.qmd" TargetMode="External" /><Relationship Type="http://schemas.openxmlformats.org/officeDocument/2006/relationships/hyperlink" Id="rId65" Target="assignments/assign2.qmd" TargetMode="External" /><Relationship Type="http://schemas.openxmlformats.org/officeDocument/2006/relationships/hyperlink" Id="rId66" Target="assignments/assign3.qmd" TargetMode="External" /><Relationship Type="http://schemas.openxmlformats.org/officeDocument/2006/relationships/hyperlink" Id="rId67" Target="assignments/assign4.qmd" TargetMode="External" /><Relationship Type="http://schemas.openxmlformats.org/officeDocument/2006/relationships/hyperlink" Id="rId68" Target="assignments/assign5.qmd" TargetMode="External" /><Relationship Type="http://schemas.openxmlformats.org/officeDocument/2006/relationships/hyperlink" Id="rId69" Target="assignments/assign6.qmd" TargetMode="External" /><Relationship Type="http://schemas.openxmlformats.org/officeDocument/2006/relationships/hyperlink" Id="rId70" Target="assignments/assign7.qmd" TargetMode="External" /><Relationship Type="http://schemas.openxmlformats.org/officeDocument/2006/relationships/hyperlink" Id="rId71" Target="assignments/assign8.qmd" TargetMode="External" /><Relationship Type="http://schemas.openxmlformats.org/officeDocument/2006/relationships/hyperlink" Id="rId40" Target="http://blackboard.syr.edu" TargetMode="External" /><Relationship Type="http://schemas.openxmlformats.org/officeDocument/2006/relationships/hyperlink" Id="rId92" Target="http://its.syr.edu/its_service_center" TargetMode="External" /><Relationship Type="http://schemas.openxmlformats.org/officeDocument/2006/relationships/hyperlink" Id="rId58" Target="http://jacklreilly.github.io" TargetMode="External" /><Relationship Type="http://schemas.openxmlformats.org/officeDocument/2006/relationships/hyperlink" Id="rId86" Target="http://registrar.syr.edu/faculty-staff/non-attendance/" TargetMode="External" /><Relationship Type="http://schemas.openxmlformats.org/officeDocument/2006/relationships/hyperlink" Id="rId87" Target="http://registrar.syr.edu/students/non-attendance/"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101" Target="https://ese.syr.edu/bewell/" TargetMode="External" /><Relationship Type="http://schemas.openxmlformats.org/officeDocument/2006/relationships/hyperlink" Id="rId88" Target="https://experience.syracuse.edu/student-outreach/student-support/absence-notifications/" TargetMode="External" /><Relationship Type="http://schemas.openxmlformats.org/officeDocument/2006/relationships/hyperlink" Id="rId83"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78" Target="https://policies.syr.edu" TargetMode="External" /><Relationship Type="http://schemas.openxmlformats.org/officeDocument/2006/relationships/hyperlink" Id="rId81" Target="https://policies.syr.edu/" TargetMode="External" /><Relationship Type="http://schemas.openxmlformats.org/officeDocument/2006/relationships/hyperlink" Id="rId80" Target="https://policies.syr.edu/policies/academic-rules-student-responsibilities-and-services/academic-integrity-policy/" TargetMode="External" /><Relationship Type="http://schemas.openxmlformats.org/officeDocument/2006/relationships/hyperlink" Id="rId99" Target="https://policies.syr.edu/policies/university-governance-ethics-integrity-and-legal-compliance/religious-observances-policy/"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90" Target="https://su-jsm.atlassian.net/wiki/x/zcUzCQ"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97" Target="mailto:disabilityresources@syr.edu" TargetMode="External" /><Relationship Type="http://schemas.openxmlformats.org/officeDocument/2006/relationships/hyperlink" Id="rId94" Target="mailto:equalopp@syr.edu" TargetMode="External" /><Relationship Type="http://schemas.openxmlformats.org/officeDocument/2006/relationships/hyperlink" Id="rId91" Target="mailto:help@syr.edu" TargetMode="External" /><Relationship Type="http://schemas.openxmlformats.org/officeDocument/2006/relationships/hyperlink" Id="rId23"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400/600: Data Wrangling and Visualization</dc:title>
  <dc:creator>Prof. Jack Reilly</dc:creator>
  <cp:keywords/>
  <dcterms:created xsi:type="dcterms:W3CDTF">2025-12-08T21:05:57Z</dcterms:created>
  <dcterms:modified xsi:type="dcterms:W3CDTF">2025-12-08T21:05:57Z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F2025</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Course Syllabus</vt:lpwstr>
  </property>
  <property fmtid="{D5CDD505-2E9C-101B-9397-08002B2CF9AE}" pid="10" name="toc-title">
    <vt:lpwstr>Table of contents</vt:lpwstr>
  </property>
</Properties>
</file>