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6.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Because of the fundamental challenges AI poses for how we all think about education, however, a deeper discussion of AI is warranted.</w:t>
      </w:r>
    </w:p>
    <w:bookmarkStart w:id="33"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very likely to radically change the way we all work over the next several years, just like a variety of other technologies before them (see: the internet, the personal computer, electricity, the steam engine, the printing press, the wheel, control fire,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Langauge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functional code, or an accurate representation of the world.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English language, why rely on</w:t>
            </w:r>
            <w:r>
              <w:t xml:space="preserve"> </w:t>
            </w:r>
            <w:r>
              <w:t xml:space="preserve">“slop”</w:t>
            </w:r>
            <w:r>
              <w:t xml:space="preserve">?</w:t>
            </w:r>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discuss it, the problem is that you don’t yet know enough about the subject to reliably evaluate the quality of AI outputs.</w:t>
      </w:r>
    </w:p>
    <w:p>
      <w:pPr>
        <w:pStyle w:val="BodyText"/>
      </w:pPr>
      <w:r>
        <w:t xml:space="preserve">Furthermore, and even more problematically, using them early can hamper your ability to understand the fundamental conceptual elements of programming and statistics, concepts which, when will understood, will eventually</w:t>
      </w:r>
      <w:r>
        <w:t xml:space="preserve"> </w:t>
      </w:r>
      <w:r>
        <w:rPr>
          <w:i/>
          <w:iCs/>
        </w:rPr>
        <w:t xml:space="preserve">enable</w:t>
      </w:r>
      <w:r>
        <w:t xml:space="preserve"> </w:t>
      </w:r>
      <w:r>
        <w:t xml:space="preserve">your most effecive use of this new class of tools. Accordingly, I</w:t>
      </w:r>
      <w:r>
        <w:t xml:space="preserve"> </w:t>
      </w:r>
      <w:r>
        <w:rPr>
          <w:b/>
          <w:bCs/>
        </w:rPr>
        <w:t xml:space="preserve">strongly encourage you to avoid using generative-AI</w:t>
      </w:r>
      <w:r>
        <w:t xml:space="preserve"> </w:t>
      </w:r>
      <w:r>
        <w:t xml:space="preserve">tools in this course, except if (and where) encouraged by me. Even if it gives you an immediate shortcut, it is likely put you at a long-term disadvantage,</w:t>
      </w:r>
      <w:r>
        <w:t xml:space="preserve"> </w:t>
      </w:r>
      <w:r>
        <w:rPr>
          <w:i/>
          <w:iCs/>
        </w:rPr>
        <w:t xml:space="preserve">even using AI</w:t>
      </w:r>
      <w:r>
        <w:t xml:space="preserve">, when compared to students that learned the old school way.</w:t>
      </w:r>
      <w:r>
        <w:rPr>
          <w:rStyle w:val="FootnoteReference"/>
        </w:rPr>
        <w:footnoteReference w:id="32"/>
      </w:r>
    </w:p>
    <w:bookmarkEnd w:id="33"/>
    <w:bookmarkStart w:id="51"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4">
        <w:r>
          <w:rPr>
            <w:rStyle w:val="Hyperlink"/>
          </w:rPr>
          <w:t xml:space="preserve">old man yells at cloud</w:t>
        </w:r>
      </w:hyperlink>
      <w:r>
        <w:t xml:space="preserve">? Well, possibly.</w:t>
      </w:r>
      <w:r>
        <w:rPr>
          <w:rStyle w:val="FootnoteReference"/>
        </w:rPr>
        <w:footnoteReference w:id="35"/>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p>
    <w:p>
      <w:pPr>
        <w:pStyle w:val="BodyText"/>
      </w:pPr>
      <w:r>
        <w:t xml:space="preserve">Now, this is not a class on how to use AI, nor on the ethical and responsible use of AI. (It’s a class on statistics.)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39"/>
            </w:r>
            <w:r>
              <w:t xml:space="preserve"> </w:t>
            </w:r>
            <w:r>
              <w:t xml:space="preserve">and I promise you that OpenAI, Google, Anthropic, Mistral, etc won’t take responsibility for whatever you produce with their tools - that’s on you.</w:t>
            </w:r>
            <w:r>
              <w:rPr>
                <w:rStyle w:val="FootnoteReference"/>
              </w:rPr>
              <w:footnoteReference w:id="41"/>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tc>
      </w:tr>
    </w:tbl>
    <w:p>
      <w:pPr>
        <w:pStyle w:val="BodyText"/>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caution.png" id="44" name="Picture"/>
                          <pic:cNvPicPr>
                            <a:picLocks noChangeArrowheads="1" noChangeAspect="1"/>
                          </pic:cNvPicPr>
                        </pic:nvPicPr>
                        <pic:blipFill>
                          <a:blip r:embed="rId4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5"/>
            </w:r>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6">
        <w:r>
          <w:rPr>
            <w:rStyle w:val="Hyperlink"/>
          </w:rPr>
          <w:t xml:space="preserve">LaTex</w:t>
        </w:r>
      </w:hyperlink>
      <w:r>
        <w:t xml:space="preserve">, and later translated, with the help of ChatGPT, to</w:t>
      </w:r>
      <w:r>
        <w:t xml:space="preserve"> </w:t>
      </w:r>
      <w:hyperlink r:id="rId47">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responsible ways, for instance. But it is the way that</w:t>
      </w:r>
      <w:r>
        <w:t xml:space="preserve"> </w:t>
      </w:r>
      <w:r>
        <w:rPr>
          <w:i/>
          <w:iCs/>
        </w:rPr>
        <w:t xml:space="preserve">I</w:t>
      </w:r>
      <w:r>
        <w:t xml:space="preserve"> </w:t>
      </w:r>
      <w:r>
        <w:t xml:space="preserve">have found it most useful to use ChatGPT</w:t>
      </w:r>
    </w:p>
    <w:p>
      <w:pPr>
        <w:pStyle w:val="BodyText"/>
      </w:pPr>
      <w:r>
        <w:t xml:space="preserve">Note a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48"/>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49">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(again, AGI), 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0">
        <w:r>
          <w:rPr>
            <w:rStyle w:val="Hyperlink"/>
          </w:rPr>
          <w:t xml:space="preserve">is a bicycle for the mind</w:t>
        </w:r>
      </w:hyperlink>
      <w:r>
        <w:t xml:space="preserve">. The advent of technical progress means that your ChatGPT-equipped Apple laptop may be more like an automobile for your mind, rather than a bicycle, but the parallel is still apt: neither the bicyle nor the automobile replaces your own mind; it merely augments it.</w:t>
      </w:r>
    </w:p>
    <w:bookmarkEnd w:id="51"/>
    <w:bookmarkStart w:id="58"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2"/>
      </w:r>
    </w:p>
    <w:p>
      <w:pPr>
        <w:pStyle w:val="BodyText"/>
      </w:pPr>
      <w:r>
        <w:t xml:space="preserve">That said, I also believe that, even in courses that are not directly about AI, one of my jobs as an educator is to help all of my students learn how to use AI effectively. I don’t ban the use of AI in my class – except in ways that violate common decency, the law, or other educational or professional obligations – and even tacitly encourage in some circumstances.</w:t>
      </w:r>
    </w:p>
    <w:p>
      <w:pPr>
        <w:pStyle w:val="BodyText"/>
      </w:pPr>
      <w:r>
        <w:t xml:space="preserve">I would also strongly encourage you to be skeptical about overusing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3"/>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4"/>
      </w:r>
      <w:r>
        <w:t xml:space="preserve"> </w:t>
      </w:r>
      <w:r>
        <w:t xml:space="preserve">nor does my interest lie in trying to figure out if you are attempting to pass AI slop</w:t>
      </w:r>
      <w:r>
        <w:rPr>
          <w:rStyle w:val="FootnoteReference"/>
        </w:rPr>
        <w:footnoteReference w:id="55"/>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57"/>
      </w:r>
    </w:p>
    <w:bookmarkEnd w:id="58"/>
    <w:bookmarkStart w:id="73"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9">
        <w:r>
          <w:rPr>
            <w:rStyle w:val="Hyperlink"/>
          </w:rPr>
          <w:t xml:space="preserve">I teach a course in AI Policy</w:t>
        </w:r>
      </w:hyperlink>
      <w:r>
        <w:t xml:space="preserve">, Professor Himmelreich teaches a class on</w:t>
      </w:r>
      <w:r>
        <w:t xml:space="preserve"> </w:t>
      </w:r>
      <w:hyperlink r:id="rId60">
        <w:r>
          <w:rPr>
            <w:rStyle w:val="Hyperlink"/>
          </w:rPr>
          <w:t xml:space="preserve">Data Ethics</w:t>
        </w:r>
      </w:hyperlink>
      <w:r>
        <w:t xml:space="preserve">, and Professor Zhang teaches a class on</w:t>
      </w:r>
      <w:r>
        <w:t xml:space="preserve"> </w:t>
      </w:r>
      <w:hyperlink r:id="rId61">
        <w:r>
          <w:rPr>
            <w:rStyle w:val="Hyperlink"/>
          </w:rPr>
          <w:t xml:space="preserve">AI Governance and Politics</w:t>
        </w:r>
      </w:hyperlink>
      <w:r>
        <w:t xml:space="preserve">. There are also a broader set of other AI-related things happening at Syracuse, including events through the</w:t>
      </w:r>
      <w:r>
        <w:t xml:space="preserve"> </w:t>
      </w:r>
      <w:hyperlink r:id="rId62">
        <w:r>
          <w:rPr>
            <w:rStyle w:val="Hyperlink"/>
          </w:rPr>
          <w:t xml:space="preserve">Autonomous Systems Policy Institute (ASPI)</w:t>
        </w:r>
      </w:hyperlink>
      <w:r>
        <w:t xml:space="preserve">, resources organized by</w:t>
      </w:r>
      <w:r>
        <w:t xml:space="preserve"> </w:t>
      </w:r>
      <w:hyperlink r:id="rId63">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4">
        <w:r>
          <w:rPr>
            <w:rStyle w:val="Hyperlink"/>
          </w:rPr>
          <w:t xml:space="preserve">series of articles</w:t>
        </w:r>
      </w:hyperlink>
      <w:r>
        <w:t xml:space="preserve"> </w:t>
      </w:r>
      <w:r>
        <w:t xml:space="preserve">that are well worth reading as well as an excellent</w:t>
      </w:r>
      <w:r>
        <w:t xml:space="preserve"> </w:t>
      </w:r>
      <w:hyperlink r:id="rId65">
        <w:r>
          <w:rPr>
            <w:rStyle w:val="Hyperlink"/>
          </w:rPr>
          <w:t xml:space="preserve">podcast she hosted on AI</w:t>
        </w:r>
      </w:hyperlink>
      <w:r>
        <w:t xml:space="preserve">. She also was interviewed in one of my favorite blog post titles ever,</w:t>
      </w:r>
      <w:r>
        <w:t xml:space="preserve"> </w:t>
      </w:r>
      <w:hyperlink r:id="rId66">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67">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68">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69">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0">
        <w:r>
          <w:rPr>
            <w:rStyle w:val="Hyperlink"/>
          </w:rPr>
          <w:t xml:space="preserve">Benjamin Evans</w:t>
        </w:r>
      </w:hyperlink>
      <w:r>
        <w:t xml:space="preserve"> </w:t>
      </w:r>
      <w:r>
        <w:t xml:space="preserve">and</w:t>
      </w:r>
      <w:r>
        <w:t xml:space="preserve"> </w:t>
      </w:r>
      <w:hyperlink r:id="rId71">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2">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w:t>
      </w:r>
      <w:r>
        <w:t xml:space="preserve"> </w:t>
      </w:r>
      <w:hyperlink r:id="rId23">
        <w:r>
          <w:rPr>
            <w:rStyle w:val="Hyperlink"/>
            <w:i/>
            <w:iCs/>
          </w:rPr>
          <w:t xml:space="preserve">The Illusion of Thinking</w:t>
        </w:r>
        <w:r>
          <w:rPr>
            <w:rStyle w:val="Hyperlink"/>
          </w:rPr>
          <w:t xml:space="preserve"> </w:t>
        </w:r>
        <w:r>
          <w:rPr>
            <w:rStyle w:val="Hyperlink"/>
          </w:rPr>
          <w:t xml:space="preserve">(2025)</w:t>
        </w:r>
      </w:hyperlink>
      <w:r>
        <w:t xml:space="preserve">, published by researchers at Apple).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clear points in academic settings, see</w:t>
      </w:r>
      <w:r>
        <w:t xml:space="preserve"> </w:t>
      </w:r>
      <w:hyperlink r:id="rId31">
        <w:r>
          <w:rPr>
            <w:rStyle w:val="Hyperlink"/>
          </w:rPr>
          <w:t xml:space="preserve">Healy, 2107.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5">
    <w:p>
      <w:pPr>
        <w:pStyle w:val="FootnoteText"/>
      </w:pPr>
      <w:r>
        <w:rPr>
          <w:rStyle w:val="FootnoteReference"/>
        </w:rPr>
        <w:footnoteRef/>
      </w:r>
      <w:r>
        <w:t xml:space="preserve"> </w:t>
      </w:r>
      <w:r>
        <w:t xml:space="preserve">You never really know what you’re over the hill, but you feel it coming sooner every day.</w:t>
      </w:r>
    </w:p>
  </w:footnote>
  <w:footnote w:id="39">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0">
        <w:r>
          <w:rPr>
            <w:rStyle w:val="Hyperlink"/>
          </w:rPr>
          <w:t xml:space="preserve">discussion</w:t>
        </w:r>
      </w:hyperlink>
      <w:r>
        <w:t xml:space="preserve"> </w:t>
      </w:r>
      <w:r>
        <w:t xml:space="preserve">in regards to journals published by Springer-Nature.</w:t>
      </w:r>
    </w:p>
  </w:footnote>
  <w:footnote w:id="41">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5">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48">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w:t>
      </w:r>
    </w:p>
  </w:footnote>
  <w:footnote w:id="52">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“large but uncertain step”</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3">
    <w:p>
      <w:pPr>
        <w:pStyle w:val="FootnoteText"/>
      </w:pPr>
      <w:r>
        <w:rPr>
          <w:rStyle w:val="FootnoteReference"/>
        </w:rPr>
        <w:footnoteRef/>
      </w:r>
      <w:r>
        <w:t xml:space="preserve"> </w:t>
      </w:r>
      <w:r>
        <w:t xml:space="preserve">An all too common mistake made today by students, educators, and administrators alike, for the record.</w:t>
      </w:r>
    </w:p>
  </w:footnote>
  <w:footnote w:id="54">
    <w:p>
      <w:pPr>
        <w:pStyle w:val="FootnoteText"/>
      </w:pPr>
      <w:r>
        <w:rPr>
          <w:rStyle w:val="FootnoteReference"/>
        </w:rPr>
        <w:footnoteRef/>
      </w:r>
      <w:r>
        <w:t xml:space="preserve"> </w:t>
      </w:r>
      <w:r>
        <w:t xml:space="preserve">An arduous, unending, and unenviable task, like Sisyphus with his rock.</w:t>
      </w:r>
    </w:p>
  </w:footnote>
  <w:footnote w:id="55">
    <w:p>
      <w:pPr>
        <w:pStyle w:val="FootnoteText"/>
      </w:pPr>
      <w:r>
        <w:rPr>
          <w:rStyle w:val="FootnoteReference"/>
        </w:rPr>
        <w:footnoteRef/>
      </w:r>
      <w:r>
        <w:t xml:space="preserve"> </w:t>
      </w:r>
      <w:r>
        <w:t xml:space="preserve">AI slop: also known as, well,</w:t>
      </w:r>
      <w:r>
        <w:t xml:space="preserve"> </w:t>
      </w:r>
      <w:hyperlink r:id="rId56">
        <w:r>
          <w:rPr>
            <w:rStyle w:val="Hyperlink"/>
          </w:rPr>
          <w:t xml:space="preserve">you know</w:t>
        </w:r>
      </w:hyperlink>
      <w:r>
        <w:t xml:space="preserve">.</w:t>
      </w:r>
    </w:p>
  </w:footnote>
  <w:footnote w:id="57">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2025-08-30T23:52:30Z</dcterms:created>
  <dcterms:modified xsi:type="dcterms:W3CDTF">2025-08-30T23:52:30Z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Opinionated Discussion and Digression about Education and Technology</vt:lpwstr>
  </property>
  <property fmtid="{D5CDD505-2E9C-101B-9397-08002B2CF9AE}" pid="8" name="toc-title">
    <vt:lpwstr>Table of contents</vt:lpwstr>
  </property>
</Properties>
</file>