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5. Structural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Replication: Read Mondak and Sanders (2003) -</w:t>
      </w:r>
      <w:r>
        <w:t xml:space="preserve"> </w:t>
      </w:r>
      <w:r>
        <w:t xml:space="preserve">“Tolerance and Intolerance, 1976-1998”</w:t>
      </w:r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2"/>
        </w:numPr>
      </w:pPr>
      <w:r>
        <w:t xml:space="preserve">Extend the analysis to include more recent years as well.</w:t>
      </w:r>
    </w:p>
    <w:p>
      <w:pPr>
        <w:numPr>
          <w:ilvl w:val="0"/>
          <w:numId w:val="1002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2"/>
    <w:bookmarkStart w:id="23" w:name="submission-due-week-6"/>
    <w:p>
      <w:pPr>
        <w:pStyle w:val="Heading2"/>
      </w:pPr>
      <w:r>
        <w:t xml:space="preserve">Submission (Due Week 6)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Mondak and Saunders found in figures 1, 2, and 5?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5. Structural Data Manipulation</dc:title>
  <dc:creator>Prof. Jack Reilly</dc:creator>
  <cp:keywords/>
  <dcterms:created xsi:type="dcterms:W3CDTF">2025-09-23T03:01:19Z</dcterms:created>
  <dcterms:modified xsi:type="dcterms:W3CDTF">2025-09-23T03:01:19Z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