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Browse</w:t>
      </w:r>
      <w:r>
        <w:t xml:space="preserve"> </w:t>
      </w:r>
      <w:hyperlink r:id="rId22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2"/>
        </w:numPr>
      </w:pPr>
      <w:r>
        <w:t xml:space="preserve">Bonus: Replicate Figure 2 from Bartels as well; add in recent years and 2024.</w:t>
      </w:r>
    </w:p>
    <w:bookmarkEnd w:id="23"/>
    <w:bookmarkStart w:id="24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4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4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4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4"/>
        </w:numPr>
      </w:pPr>
      <w:r>
        <w:t xml:space="preserve">Does anything change about the analysis in a substantive way when you include midterm election years?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2025-10-07T02:02:59Z</dcterms:created>
  <dcterms:modified xsi:type="dcterms:W3CDTF">2025-10-07T02:02:59Z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