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6.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Read Bartels (2000) -</w:t>
      </w:r>
      <w:r>
        <w:t xml:space="preserve"> </w:t>
      </w:r>
      <w:r>
        <w:t xml:space="preserve">“Partisanship and Voting Behavior, 1952-1996”</w:t>
      </w:r>
      <w:r>
        <w:t xml:space="preserve">. Using the Cumulative American National Eleciton Studies (ANES) file, replicate Figures 1 and 2.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bookmarkEnd w:id="22"/>
    <w:bookmarkStart w:id="23" w:name="submission-due-week-7"/>
    <w:p>
      <w:pPr>
        <w:pStyle w:val="Heading2"/>
      </w:pPr>
      <w:r>
        <w:t xml:space="preserve">Submission: Due Week 7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6. Data Visualization I</dc:title>
  <dc:creator>Prof. Jack Reilly</dc:creator>
  <cp:keywords/>
  <dcterms:created xsi:type="dcterms:W3CDTF">2025-09-23T02:03:29Z</dcterms:created>
  <dcterms:modified xsi:type="dcterms:W3CDTF">2025-09-23T02:03:29Z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