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bookmarkStart w:id="21" w:name="course-information"/>
    <w:p>
      <w:pPr>
        <w:pStyle w:val="Heading1"/>
      </w:pPr>
      <w:r>
        <w:t xml:space="preserve">Course Information</w:t>
      </w:r>
    </w:p>
    <w:p>
      <w:pPr>
        <w:pStyle w:val="FirstParagraph"/>
      </w:pPr>
      <w:r>
        <w:t xml:space="preserve">Instructor: Professor Jack Reilly</w:t>
      </w:r>
    </w:p>
    <w:p>
      <w:pPr>
        <w:pStyle w:val="BodyText"/>
      </w:pPr>
      <w:r>
        <w:t xml:space="preserve">Office: Eggers 225F</w:t>
      </w:r>
    </w:p>
    <w:p>
      <w:pPr>
        <w:pStyle w:val="BodyText"/>
      </w:pPr>
      <w:r>
        <w:t xml:space="preserve">Office Hours: Tuesday and Thursday, 11 AM - Noon</w:t>
      </w:r>
    </w:p>
    <w:p>
      <w:pPr>
        <w:pStyle w:val="BodyText"/>
      </w:pPr>
      <w:r>
        <w:t xml:space="preserve">Phone: 315-443-2687 (office)</w:t>
      </w:r>
    </w:p>
    <w:p>
      <w:pPr>
        <w:pStyle w:val="BodyText"/>
      </w:pPr>
      <w:r>
        <w:t xml:space="preserve">e-mail:</w:t>
      </w:r>
      <w:r>
        <w:t xml:space="preserve"> </w:t>
      </w:r>
      <w:hyperlink r:id="rId20">
        <w:r>
          <w:rPr>
            <w:rStyle w:val="Hyperlink"/>
          </w:rPr>
          <w:t xml:space="preserve">jlreilly@syr.edu</w:t>
        </w:r>
      </w:hyperlink>
    </w:p>
    <w:bookmarkEnd w:id="21"/>
    <w:bookmarkStart w:id="24" w:name="overview"/>
    <w:p>
      <w:pPr>
        <w:pStyle w:val="Heading1"/>
      </w:pPr>
      <w:r>
        <w:t xml:space="preserve">Overview</w:t>
      </w:r>
    </w:p>
    <w:p>
      <w:pPr>
        <w:pStyle w:val="FirstParagraph"/>
      </w:pPr>
      <w:r>
        <w:t xml:space="preserve">This course introduces students to data management, wrangling, and visualization as well as the techinal tools necessary to do such analysis in an open and reproducible fashion.</w:t>
      </w:r>
    </w:p>
    <w:bookmarkStart w:id="22" w:name="description"/>
    <w:p>
      <w:pPr>
        <w:pStyle w:val="Heading2"/>
      </w:pPr>
      <w:r>
        <w:t xml:space="preserve">Description</w:t>
      </w:r>
    </w:p>
    <w:p>
      <w:pPr>
        <w:pStyle w:val="FirstParagraph"/>
      </w:pPr>
      <w:r>
        <w:t xml:space="preserve">Data preprocessing, wrangling, and management often consumes a large fraction of the time spent doing quantitative data analysis in public administration, public policy, and the broader social sciences. This class introduces students to the technical tools necessary to do these tasks in an open and reproducible fashion suitable for modern computational data workflows.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LaTeX, and a variety of helper programs to tie things together.</w:t>
      </w:r>
    </w:p>
    <w:bookmarkEnd w:id="22"/>
    <w:bookmarkStart w:id="23"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w:t>
      </w:r>
    </w:p>
    <w:bookmarkEnd w:id="23"/>
    <w:bookmarkEnd w:id="24"/>
    <w:bookmarkStart w:id="35" w:name="materials"/>
    <w:p>
      <w:pPr>
        <w:pStyle w:val="Heading1"/>
      </w:pPr>
      <w:r>
        <w:t xml:space="preserve">Materials</w:t>
      </w:r>
    </w:p>
    <w:bookmarkStart w:id="31" w:name="books"/>
    <w:p>
      <w:pPr>
        <w:pStyle w:val="Heading2"/>
      </w:pPr>
      <w:r>
        <w:t xml:space="preserve">Books</w:t>
      </w:r>
    </w:p>
    <w:p>
      <w:pPr>
        <w:pStyle w:val="Compact"/>
        <w:numPr>
          <w:ilvl w:val="0"/>
          <w:numId w:val="1001"/>
        </w:numPr>
      </w:pPr>
      <w:r>
        <w:t xml:space="preserve">Required:</w:t>
      </w:r>
    </w:p>
    <w:p>
      <w:pPr>
        <w:pStyle w:val="Compact"/>
        <w:numPr>
          <w:ilvl w:val="1"/>
          <w:numId w:val="1002"/>
        </w:numPr>
      </w:pPr>
      <w:r>
        <w:t xml:space="preserve">Weidmann, Nils.</w:t>
      </w:r>
      <w:r>
        <w:t xml:space="preserve"> </w:t>
      </w:r>
      <w:r>
        <w:rPr>
          <w:i/>
          <w:iCs/>
        </w:rPr>
        <w:t xml:space="preserve">Data Management for Social Scientists</w:t>
      </w:r>
      <w:r>
        <w:t xml:space="preserve">. Open access:</w:t>
      </w:r>
      <w:r>
        <w:t xml:space="preserve"> </w:t>
      </w:r>
      <w:hyperlink r:id="rId25">
        <w:r>
          <w:rPr>
            <w:rStyle w:val="Hyperlink"/>
          </w:rPr>
          <w:t xml:space="preserve">https://doi.org/10.1017/9781108990424</w:t>
        </w:r>
      </w:hyperlink>
    </w:p>
    <w:p>
      <w:pPr>
        <w:pStyle w:val="Compact"/>
        <w:numPr>
          <w:ilvl w:val="1"/>
          <w:numId w:val="1002"/>
        </w:numPr>
      </w:pPr>
      <w:r>
        <w:t xml:space="preserve">Healy, Kieran.</w:t>
      </w:r>
      <w:r>
        <w:t xml:space="preserve"> </w:t>
      </w:r>
      <w:r>
        <w:rPr>
          <w:i/>
          <w:iCs/>
        </w:rPr>
        <w:t xml:space="preserve">Data Visualization: A Practical Introduction</w:t>
      </w:r>
      <w:r>
        <w:t xml:space="preserve">. Open access:</w:t>
      </w:r>
      <w:r>
        <w:t xml:space="preserve"> </w:t>
      </w:r>
      <w:hyperlink r:id="rId26">
        <w:r>
          <w:rPr>
            <w:rStyle w:val="Hyperlink"/>
          </w:rPr>
          <w:t xml:space="preserve">https://socviz.co</w:t>
        </w:r>
      </w:hyperlink>
    </w:p>
    <w:p>
      <w:pPr>
        <w:pStyle w:val="Compact"/>
        <w:numPr>
          <w:ilvl w:val="0"/>
          <w:numId w:val="1001"/>
        </w:numPr>
      </w:pPr>
      <w:r>
        <w:t xml:space="preserve">Recommended:</w:t>
      </w:r>
    </w:p>
    <w:p>
      <w:pPr>
        <w:pStyle w:val="Compact"/>
        <w:numPr>
          <w:ilvl w:val="1"/>
          <w:numId w:val="1003"/>
        </w:numPr>
      </w:pPr>
      <w:r>
        <w:t xml:space="preserve">Braun &amp; Murdoch,</w:t>
      </w:r>
      <w:r>
        <w:t xml:space="preserve"> </w:t>
      </w:r>
      <w:r>
        <w:rPr>
          <w:i/>
          <w:iCs/>
        </w:rPr>
        <w:t xml:space="preserve">A First Course in Statistical Programming</w:t>
      </w:r>
      <w:r>
        <w:t xml:space="preserve">, 3rd Edition</w:t>
      </w:r>
    </w:p>
    <w:p>
      <w:pPr>
        <w:pStyle w:val="Compact"/>
        <w:numPr>
          <w:ilvl w:val="1"/>
          <w:numId w:val="1003"/>
        </w:numPr>
      </w:pPr>
      <w:r>
        <w:t xml:space="preserve">Freeman &amp; Ross,</w:t>
      </w:r>
      <w:r>
        <w:t xml:space="preserve"> </w:t>
      </w:r>
      <w:r>
        <w:rPr>
          <w:i/>
          <w:iCs/>
        </w:rPr>
        <w:t xml:space="preserve">Programming Skills for Data Science</w:t>
      </w:r>
    </w:p>
    <w:p>
      <w:pPr>
        <w:pStyle w:val="Compact"/>
        <w:numPr>
          <w:ilvl w:val="1"/>
          <w:numId w:val="1003"/>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27">
        <w:r>
          <w:rPr>
            <w:rStyle w:val="Hyperlink"/>
          </w:rPr>
          <w:t xml:space="preserve">https://r4ds.hadley.nz</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note.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I’m partial to Braun and Murdoch or Freeman and Ross (</w:t>
            </w:r>
            <w:r>
              <w:rPr>
                <w:b/>
                <w:bCs/>
              </w:rPr>
              <w:t xml:space="preserve">FCSP</w:t>
            </w:r>
            <w:r>
              <w:t xml:space="preserve"> </w:t>
            </w:r>
            <w:r>
              <w:t xml:space="preserve">and</w:t>
            </w:r>
            <w:r>
              <w:t xml:space="preserve"> </w:t>
            </w:r>
            <w:r>
              <w:rPr>
                <w:b/>
                <w:bCs/>
              </w:rPr>
              <w:t xml:space="preserve">PSDS</w:t>
            </w:r>
            <w:r>
              <w:t xml:space="preserve">), and will be suggesting readings primarily from them. Freeman and Ross, however, has the advantage of being open access (always useful), but is primarily focused on the tidyverse, which our course is not exclusively focused on.</w:t>
            </w:r>
          </w:p>
        </w:tc>
      </w:tr>
    </w:tbl>
    <w:bookmarkEnd w:id="31"/>
    <w:bookmarkStart w:id="32"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32"/>
    <w:bookmarkStart w:id="34" w:name="online-course-resources"/>
    <w:p>
      <w:pPr>
        <w:pStyle w:val="Heading2"/>
      </w:pPr>
      <w:r>
        <w:t xml:space="preserve">Online Course Resources</w:t>
      </w:r>
    </w:p>
    <w:p>
      <w:pPr>
        <w:pStyle w:val="FirstParagraph"/>
      </w:pPr>
      <w:r>
        <w:t xml:space="preserve">Blackboard is our internet-based course platform</w:t>
      </w:r>
      <w:r>
        <w:t xml:space="preserve"> </w:t>
      </w:r>
      <w:hyperlink r:id="rId33">
        <w:r>
          <w:rPr>
            <w:rStyle w:val="Hyperlink"/>
          </w:rPr>
          <w:t xml:space="preserve">http://blackboard.syr.edu</w:t>
        </w:r>
      </w:hyperlink>
      <w:r>
        <w:t xml:space="preserve">. In it, you will find submission portals for (some) of your assignments and a link to this course webpage, where you can find the course syllabus, problem sets, and links to readings. In addition, during the semester, solutions to the problem sets and lecture slides will be posted. Please note, however, that class attendance is the primary source of course-related announcements and material.</w:t>
      </w:r>
    </w:p>
    <w:bookmarkEnd w:id="34"/>
    <w:bookmarkEnd w:id="35"/>
    <w:bookmarkStart w:id="42" w:name="course-requirements"/>
    <w:p>
      <w:pPr>
        <w:pStyle w:val="Heading1"/>
      </w:pPr>
      <w:r>
        <w:t xml:space="preserve">Course Requirements</w:t>
      </w:r>
    </w:p>
    <w:bookmarkStart w:id="3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4"/>
        </w:numPr>
      </w:pPr>
      <w:r>
        <w:t xml:space="preserve">Regular course participation and attendance (10%)</w:t>
      </w:r>
    </w:p>
    <w:p>
      <w:pPr>
        <w:pStyle w:val="Compact"/>
        <w:numPr>
          <w:ilvl w:val="0"/>
          <w:numId w:val="1004"/>
        </w:numPr>
      </w:pPr>
      <w:r>
        <w:t xml:space="preserve">Weekly Assignments (30%)</w:t>
      </w:r>
    </w:p>
    <w:p>
      <w:pPr>
        <w:pStyle w:val="Compact"/>
        <w:numPr>
          <w:ilvl w:val="0"/>
          <w:numId w:val="1004"/>
        </w:numPr>
      </w:pPr>
      <w:r>
        <w:t xml:space="preserve">Core Exam (30%)</w:t>
      </w:r>
    </w:p>
    <w:p>
      <w:pPr>
        <w:pStyle w:val="Compact"/>
        <w:numPr>
          <w:ilvl w:val="0"/>
          <w:numId w:val="1004"/>
        </w:numPr>
      </w:pPr>
      <w:r>
        <w:t xml:space="preserve">Final Project (30%)</w:t>
      </w:r>
    </w:p>
    <w:bookmarkEnd w:id="36"/>
    <w:bookmarkStart w:id="37"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 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slides, do the reading for the day, get notes from a friend, and still complete the assignment if you are able (or, if it is a day we are going over the assignment, make sure to look over the assignment solutions). If you do these things and still feel like you’re missing something, please feel free to come into my office hours and we can talk it through.</w:t>
      </w:r>
    </w:p>
    <w:bookmarkEnd w:id="37"/>
    <w:bookmarkStart w:id="38" w:name="participation"/>
    <w:p>
      <w:pPr>
        <w:pStyle w:val="Heading2"/>
      </w:pPr>
      <w:r>
        <w:t xml:space="preserve">Participation</w:t>
      </w:r>
    </w:p>
    <w:p>
      <w:pPr>
        <w:pStyle w:val="FirstParagraph"/>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loudly, always coming in late and regularly distracting others, spontaneously breaking out into ribald song in the middle of class, etc).</w:t>
      </w:r>
    </w:p>
    <w:bookmarkEnd w:id="38"/>
    <w:bookmarkStart w:id="39"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bookmarkEnd w:id="39"/>
    <w:bookmarkStart w:id="40" w:name="core-exam"/>
    <w:p>
      <w:pPr>
        <w:pStyle w:val="Heading2"/>
      </w:pPr>
      <w:r>
        <w:t xml:space="preserve">Core Exam</w:t>
      </w:r>
    </w:p>
    <w:p>
      <w:pPr>
        <w:pStyle w:val="FirstParagraph"/>
      </w:pPr>
      <w:r>
        <w:t xml:space="preserve">The core exam will have in-class and out-of-class components. More information will be given as the exam gets closer.</w:t>
      </w:r>
    </w:p>
    <w:bookmarkEnd w:id="40"/>
    <w:bookmarkStart w:id="41" w:name="final-project"/>
    <w:p>
      <w:pPr>
        <w:pStyle w:val="Heading2"/>
      </w:pPr>
      <w:r>
        <w:t xml:space="preserve">Final Project</w:t>
      </w:r>
    </w:p>
    <w:p>
      <w:pPr>
        <w:pStyle w:val="FirstParagraph"/>
      </w:pPr>
      <w:r>
        <w:t xml:space="preserve">A project utilizing data of your own choice. Graduate students will have higher expectations than undergraduate students.</w:t>
      </w:r>
    </w:p>
    <w:bookmarkEnd w:id="41"/>
    <w:bookmarkEnd w:id="42"/>
    <w:bookmarkStart w:id="50" w:name="course-expectations-guidelines"/>
    <w:p>
      <w:pPr>
        <w:pStyle w:val="Heading1"/>
      </w:pPr>
      <w:r>
        <w:t xml:space="preserve">Course Expectations &amp; Guidelines</w:t>
      </w:r>
    </w:p>
    <w:bookmarkStart w:id="43" w:name="etiquette-decorum"/>
    <w:p>
      <w:pPr>
        <w:pStyle w:val="Heading2"/>
      </w:pPr>
      <w:r>
        <w:t xml:space="preserve">Etiquette &amp; Decorum</w:t>
      </w:r>
    </w:p>
    <w:p>
      <w:pPr>
        <w:pStyle w:val="FirstParagraph"/>
      </w:pPr>
      <w:r>
        <w:t xml:space="preserve">A university course is fundamentally a learning community. Be courteous to fellow students and the professor. Don’t let yourself be distracted by your cell phone in class, and don’t let what is on your computer screen distract fellow students in the class, either.</w:t>
      </w:r>
    </w:p>
    <w:bookmarkEnd w:id="43"/>
    <w:bookmarkStart w:id="45"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44">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w:t>
      </w:r>
    </w:p>
    <w:bookmarkEnd w:id="45"/>
    <w:bookmarkStart w:id="49"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if 10 PM Thursday, by 6 PM Friday; if you email me at 3 PM on Friday, by 6 PM Monday, etc.</w:t>
      </w:r>
      <w:r>
        <w:rPr>
          <w:rStyle w:val="FootnoteReference"/>
        </w:rPr>
        <w:footnoteReference w:id="46"/>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tc>
      </w:tr>
    </w:tbl>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6">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33" Target="http://blackboard.syr.edu" TargetMode="External" /><Relationship Type="http://schemas.openxmlformats.org/officeDocument/2006/relationships/hyperlink" Id="rId44" Target="http://jacklreilly.github.io" TargetMode="External" /><Relationship Type="http://schemas.openxmlformats.org/officeDocument/2006/relationships/hyperlink" Id="rId25" Target="https://doi.org/10.1017/9781108990424"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20"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blackboard.syr.edu" TargetMode="External" /><Relationship Type="http://schemas.openxmlformats.org/officeDocument/2006/relationships/hyperlink" Id="rId44" Target="http://jacklreilly.github.io" TargetMode="External" /><Relationship Type="http://schemas.openxmlformats.org/officeDocument/2006/relationships/hyperlink" Id="rId25" Target="https://doi.org/10.1017/9781108990424" TargetMode="External" /><Relationship Type="http://schemas.openxmlformats.org/officeDocument/2006/relationships/hyperlink" Id="rId27" Target="https://r4ds.hadley.nz" TargetMode="External" /><Relationship Type="http://schemas.openxmlformats.org/officeDocument/2006/relationships/hyperlink" Id="rId26" Target="https://socviz.co" TargetMode="External" /><Relationship Type="http://schemas.openxmlformats.org/officeDocument/2006/relationships/hyperlink" Id="rId20"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2025-08-25T20:20:01Z</dcterms:created>
  <dcterms:modified xsi:type="dcterms:W3CDTF">2025-08-25T20:20:01Z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