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techinal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5"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w:t>
      </w:r>
    </w:p>
    <w:p>
      <w:pPr>
        <w:pStyle w:val="Compact"/>
        <w:numPr>
          <w:ilvl w:val="1"/>
          <w:numId w:val="1003"/>
        </w:numPr>
      </w:pP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t xml:space="preserve">Freeman &amp; Ross,</w:t>
      </w:r>
      <w:r>
        <w:t xml:space="preserve"> </w:t>
      </w:r>
      <w:r>
        <w:rPr>
          <w:i/>
          <w:iCs/>
        </w:rPr>
        <w:t xml:space="preserve">Programming Skills for Data Science</w:t>
      </w:r>
    </w:p>
    <w:p>
      <w:pPr>
        <w:pStyle w:val="Compact"/>
        <w:numPr>
          <w:ilvl w:val="1"/>
          <w:numId w:val="1003"/>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I’m partial to Braun and Murdoch or Freeman and Ross (</w:t>
            </w:r>
            <w:r>
              <w:rPr>
                <w:b/>
                <w:bCs/>
              </w:rPr>
              <w:t xml:space="preserve">FCSP</w:t>
            </w:r>
            <w:r>
              <w:t xml:space="preserve"> </w:t>
            </w:r>
            <w:r>
              <w:t xml:space="preserve">and</w:t>
            </w:r>
            <w:r>
              <w:t xml:space="preserve"> </w:t>
            </w:r>
            <w:r>
              <w:rPr>
                <w:b/>
                <w:bCs/>
              </w:rPr>
              <w:t xml:space="preserve">PSDS</w:t>
            </w:r>
            <w:r>
              <w:t xml:space="preserve">), and will be suggesting readings primarily from them. Freeman and Ross, however, has the advantage of being open access (always useful), but is primarily focused on the tidyverse, which our course is not exclusively focused on.</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4"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(some) of your assignments and a link to this course webpage, where you can find the course syllabus, problem sets, and links to readings. In addition, during the semester, solutions to the problem sets and lecture slides will be posted. Please note, however, that class attendance is the primary source of course-related announcements and material.</w:t>
      </w:r>
    </w:p>
    <w:bookmarkEnd w:id="34"/>
    <w:bookmarkEnd w:id="35"/>
    <w:bookmarkStart w:id="42" w:name="course-requirements"/>
    <w:p>
      <w:pPr>
        <w:pStyle w:val="Heading1"/>
      </w:pPr>
      <w:r>
        <w:t xml:space="preserve">Course Requirements</w:t>
      </w:r>
    </w:p>
    <w:bookmarkStart w:id="3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4"/>
        </w:numPr>
      </w:pPr>
      <w:r>
        <w:t xml:space="preserve">Regular course participation and attendance (10%)</w:t>
      </w:r>
    </w:p>
    <w:p>
      <w:pPr>
        <w:pStyle w:val="Compact"/>
        <w:numPr>
          <w:ilvl w:val="0"/>
          <w:numId w:val="1004"/>
        </w:numPr>
      </w:pPr>
      <w:r>
        <w:t xml:space="preserve">Weekly Assignments (30%)</w:t>
      </w:r>
    </w:p>
    <w:p>
      <w:pPr>
        <w:pStyle w:val="Compact"/>
        <w:numPr>
          <w:ilvl w:val="0"/>
          <w:numId w:val="1004"/>
        </w:numPr>
      </w:pPr>
      <w:r>
        <w:t xml:space="preserve">Core Exam (30%)</w:t>
      </w:r>
    </w:p>
    <w:p>
      <w:pPr>
        <w:pStyle w:val="Compact"/>
        <w:numPr>
          <w:ilvl w:val="0"/>
          <w:numId w:val="1004"/>
        </w:numPr>
      </w:pPr>
      <w:r>
        <w:t xml:space="preserve">Final Project (30%)</w:t>
      </w:r>
    </w:p>
    <w:bookmarkEnd w:id="36"/>
    <w:bookmarkStart w:id="37"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 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slides, do the reading for the day, get notes from a friend, and still complete the assignment if you are able (or, if it is a day we are going over the assignment, make sure to look over the assignment solutions). If you do these things and still feel like you’re missing something, please feel free to come into my office hours and we can talk it through.</w:t>
      </w:r>
    </w:p>
    <w:bookmarkEnd w:id="37"/>
    <w:bookmarkStart w:id="38" w:name="participation"/>
    <w:p>
      <w:pPr>
        <w:pStyle w:val="Heading2"/>
      </w:pPr>
      <w:r>
        <w:t xml:space="preserve">Participation</w:t>
      </w:r>
    </w:p>
    <w:p>
      <w:pPr>
        <w:pStyle w:val="FirstParagraph"/>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loudly, always coming in late and regularly distracting others, spontaneously breaking out into ribald song in the middle of class, etc).</w:t>
      </w:r>
    </w:p>
    <w:bookmarkEnd w:id="38"/>
    <w:bookmarkStart w:id="39"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39"/>
    <w:bookmarkStart w:id="40"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0"/>
    <w:bookmarkStart w:id="41"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1"/>
    <w:bookmarkEnd w:id="42"/>
    <w:bookmarkStart w:id="50" w:name="course-expectations-guidelines"/>
    <w:p>
      <w:pPr>
        <w:pStyle w:val="Heading1"/>
      </w:pPr>
      <w:r>
        <w:t xml:space="preserve">Course Expectations &amp; Guidelines</w:t>
      </w:r>
    </w:p>
    <w:bookmarkStart w:id="43"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bookmarkEnd w:id="43"/>
    <w:bookmarkStart w:id="45"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4">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5"/>
    <w:bookmarkStart w:id="49"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6"/>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44"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44"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2025-08-25T15:12:42Z</dcterms:created>
  <dcterms:modified xsi:type="dcterms:W3CDTF">2025-08-25T15:12:42Z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