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5</w:t>
      </w:r>
    </w:p>
    <w:p>
      <w:pPr>
        <w:pStyle w:val="Subtitle"/>
      </w:pPr>
      <w:r>
        <w:t xml:space="preserve">Data in the Tidyverse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4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1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1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1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1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1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1"/>
        </w:numPr>
      </w:pPr>
      <w:r>
        <w:t xml:space="preserve">Create a table. What does education tell us about vote in the 2024 election?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Prof. Jack Reilly</dc:creator>
  <cp:keywords/>
  <dcterms:created xsi:type="dcterms:W3CDTF">2025-10-23T19:06:14Z</dcterms:created>
  <dcterms:modified xsi:type="dcterms:W3CDTF">2025-10-23T19:06:14Z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in the Tidyverse</vt:lpwstr>
  </property>
  <property fmtid="{D5CDD505-2E9C-101B-9397-08002B2CF9AE}" pid="13" name="toc-title">
    <vt:lpwstr>Table of contents</vt:lpwstr>
  </property>
</Properties>
</file>