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PAI 400/600: Data Wrangling and Visualization</w:t>
      </w:r>
    </w:p>
    <w:p>
      <w:pPr>
        <w:pStyle w:val="Subtitle"/>
      </w:pPr>
      <w:r>
        <w:t xml:space="preserve">Course Syllabus</w:t>
      </w:r>
    </w:p>
    <w:p>
      <w:pPr>
        <w:pStyle w:val="Author"/>
      </w:pPr>
      <w:r>
        <w:t xml:space="preserve">Prof. Jack Reilly</w:t>
      </w:r>
    </w:p>
    <w:p>
      <w:pPr>
        <w:pStyle w:val="Date"/>
      </w:pPr>
      <w:r>
        <w:t xml:space="preserve">F2025</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74"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Start w:id="73" w:name="course-schedule"/>
    <w:p>
      <w:pPr>
        <w:pStyle w:val="Heading2"/>
      </w:pPr>
      <w:r>
        <w:t xml:space="preserve">Course Schedule</w:t>
      </w:r>
    </w:p>
    <w:p>
      <w:pPr>
        <w:pStyle w:val="FirstParagraph"/>
      </w:pPr>
      <w:r>
        <w:rPr>
          <w:i/>
          <w:iCs/>
        </w:rPr>
        <w:t xml:space="preserve">subject to change</w:t>
      </w:r>
    </w:p>
    <w:tbl>
      <w:tblPr>
        <w:tblStyle w:val="Table"/>
        <w:tblW w:type="pct" w:w="5000"/>
        <w:tblLayout w:type="fixed"/>
        <w:tblLook w:firstRow="1" w:lastRow="0" w:firstColumn="0" w:lastColumn="0" w:noHBand="0" w:noVBand="0" w:val="0020"/>
      </w:tblPr>
      <w:tblGrid>
        <w:gridCol w:w="559"/>
        <w:gridCol w:w="3354"/>
        <w:gridCol w:w="3168"/>
        <w:gridCol w:w="83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p>
        </w:tc>
        <w:tc>
          <w:tcPr/>
          <w:p>
            <w:pPr>
              <w:pStyle w:val="Compact"/>
            </w:pPr>
            <w:hyperlink r:id="rId65">
              <w:r>
                <w:rPr>
                  <w:rStyle w:val="Hyperlink"/>
                </w:rPr>
                <w:t xml:space="preserve">Preliminaries</w:t>
              </w:r>
            </w:hyperlink>
          </w:p>
        </w:tc>
        <w:tc>
          <w:tcPr/>
          <w:p>
            <w:pPr>
              <w:pStyle w:val="Compact"/>
            </w:pPr>
          </w:p>
        </w:tc>
        <w:tc>
          <w:tcPr/>
          <w:p>
            <w:pPr>
              <w:pStyle w:val="Compact"/>
            </w:pPr>
          </w:p>
        </w:tc>
      </w:tr>
      <w:tr>
        <w:tc>
          <w:tcPr/>
          <w:p>
            <w:pPr>
              <w:pStyle w:val="Compact"/>
            </w:pPr>
            <w:r>
              <w:t xml:space="preserve">1</w:t>
            </w:r>
          </w:p>
        </w:tc>
        <w:tc>
          <w:tcPr/>
          <w:p>
            <w:pPr>
              <w:pStyle w:val="Compact"/>
            </w:pPr>
            <w:hyperlink r:id="rId66">
              <w:r>
                <w:rPr>
                  <w:rStyle w:val="Hyperlink"/>
                </w:rPr>
                <w:t xml:space="preserve">Course Introduction</w:t>
              </w:r>
            </w:hyperlink>
          </w:p>
        </w:tc>
        <w:tc>
          <w:tcPr/>
          <w:p>
            <w:pPr>
              <w:pStyle w:val="Compact"/>
            </w:pPr>
            <w:r>
              <w:t xml:space="preserve">Scripts; R and RStudio</w:t>
            </w:r>
          </w:p>
        </w:tc>
        <w:tc>
          <w:tcPr/>
          <w:p>
            <w:pPr>
              <w:pStyle w:val="Compact"/>
            </w:pPr>
          </w:p>
        </w:tc>
      </w:tr>
      <w:tr>
        <w:tc>
          <w:tcPr/>
          <w:p>
            <w:pPr>
              <w:pStyle w:val="Compact"/>
            </w:pPr>
            <w:r>
              <w:t xml:space="preserve">2</w:t>
            </w:r>
          </w:p>
        </w:tc>
        <w:tc>
          <w:tcPr/>
          <w:p>
            <w:pPr>
              <w:pStyle w:val="Compact"/>
            </w:pPr>
            <w:hyperlink r:id="rId67">
              <w:r>
                <w:rPr>
                  <w:rStyle w:val="Hyperlink"/>
                </w:rPr>
                <w:t xml:space="preserve">Reproducible Data Analyses</w:t>
              </w:r>
            </w:hyperlink>
          </w:p>
        </w:tc>
        <w:tc>
          <w:tcPr/>
          <w:p>
            <w:pPr>
              <w:pStyle w:val="Compact"/>
            </w:pPr>
            <w:r>
              <w:t xml:space="preserve">Markup Languages; Quarto</w:t>
            </w:r>
          </w:p>
        </w:tc>
        <w:tc>
          <w:tcPr/>
          <w:p>
            <w:pPr>
              <w:pStyle w:val="Compact"/>
            </w:pPr>
          </w:p>
        </w:tc>
      </w:tr>
      <w:tr>
        <w:tc>
          <w:tcPr/>
          <w:p>
            <w:pPr>
              <w:pStyle w:val="Compact"/>
            </w:pPr>
            <w:r>
              <w:t xml:space="preserve">3</w:t>
            </w:r>
          </w:p>
        </w:tc>
        <w:tc>
          <w:tcPr/>
          <w:p>
            <w:pPr>
              <w:pStyle w:val="Compact"/>
            </w:pPr>
            <w:hyperlink r:id="rId68">
              <w:r>
                <w:rPr>
                  <w:rStyle w:val="Hyperlink"/>
                </w:rPr>
                <w:t xml:space="preserve">File Management &amp; Version Control</w:t>
              </w:r>
            </w:hyperlink>
          </w:p>
        </w:tc>
        <w:tc>
          <w:tcPr/>
          <w:p>
            <w:pPr>
              <w:pStyle w:val="Compact"/>
            </w:pPr>
            <w:r>
              <w:t xml:space="preserve">Filesystems; git; GitHub</w:t>
            </w:r>
          </w:p>
        </w:tc>
        <w:tc>
          <w:tcPr/>
          <w:p>
            <w:pPr>
              <w:pStyle w:val="Compact"/>
            </w:pPr>
          </w:p>
        </w:tc>
      </w:tr>
      <w:tr>
        <w:tc>
          <w:tcPr/>
          <w:p>
            <w:pPr>
              <w:pStyle w:val="Compact"/>
            </w:pPr>
            <w:r>
              <w:t xml:space="preserve">4</w:t>
            </w:r>
          </w:p>
        </w:tc>
        <w:tc>
          <w:tcPr/>
          <w:p>
            <w:pPr>
              <w:pStyle w:val="Compact"/>
            </w:pPr>
            <w:hyperlink r:id="rId69">
              <w:r>
                <w:rPr>
                  <w:rStyle w:val="Hyperlink"/>
                </w:rPr>
                <w:t xml:space="preserve">A Field Guide to Data</w:t>
              </w:r>
            </w:hyperlink>
          </w:p>
        </w:tc>
        <w:tc>
          <w:tcPr/>
          <w:p>
            <w:pPr>
              <w:pStyle w:val="Compact"/>
            </w:pPr>
            <w:r>
              <w:t xml:space="preserve">Data Formats; readr; tidyr</w:t>
            </w:r>
          </w:p>
        </w:tc>
        <w:tc>
          <w:tcPr/>
          <w:p>
            <w:pPr>
              <w:pStyle w:val="Compact"/>
            </w:pPr>
          </w:p>
        </w:tc>
      </w:tr>
      <w:tr>
        <w:tc>
          <w:tcPr/>
          <w:p>
            <w:pPr>
              <w:pStyle w:val="Compact"/>
            </w:pPr>
            <w:r>
              <w:t xml:space="preserve">5</w:t>
            </w:r>
          </w:p>
        </w:tc>
        <w:tc>
          <w:tcPr/>
          <w:p>
            <w:pPr>
              <w:pStyle w:val="Compact"/>
            </w:pPr>
            <w:hyperlink r:id="rId70">
              <w:r>
                <w:rPr>
                  <w:rStyle w:val="Hyperlink"/>
                </w:rPr>
                <w:t xml:space="preserve">Structural Data Manipulation</w:t>
              </w:r>
            </w:hyperlink>
          </w:p>
        </w:tc>
        <w:tc>
          <w:tcPr/>
          <w:p>
            <w:pPr>
              <w:pStyle w:val="Compact"/>
            </w:pPr>
            <w:r>
              <w:t xml:space="preserve">dplyr; srvyr</w:t>
            </w:r>
          </w:p>
        </w:tc>
        <w:tc>
          <w:tcPr/>
          <w:p>
            <w:pPr>
              <w:pStyle w:val="Compact"/>
            </w:pPr>
          </w:p>
        </w:tc>
      </w:tr>
      <w:tr>
        <w:tc>
          <w:tcPr/>
          <w:p>
            <w:pPr>
              <w:pStyle w:val="Compact"/>
            </w:pPr>
            <w:r>
              <w:t xml:space="preserve">6</w:t>
            </w:r>
          </w:p>
        </w:tc>
        <w:tc>
          <w:tcPr/>
          <w:p>
            <w:pPr>
              <w:pStyle w:val="Compact"/>
            </w:pPr>
            <w:hyperlink r:id="rId71">
              <w:r>
                <w:rPr>
                  <w:rStyle w:val="Hyperlink"/>
                </w:rPr>
                <w:t xml:space="preserve">Data Visualization I</w:t>
              </w:r>
            </w:hyperlink>
          </w:p>
        </w:tc>
        <w:tc>
          <w:tcPr/>
          <w:p>
            <w:pPr>
              <w:pStyle w:val="Compact"/>
            </w:pPr>
            <w:r>
              <w:t xml:space="preserve">Grammar of Graphics; ggplot2</w:t>
            </w:r>
          </w:p>
        </w:tc>
        <w:tc>
          <w:tcPr/>
          <w:p>
            <w:pPr>
              <w:pStyle w:val="Compact"/>
            </w:pPr>
          </w:p>
        </w:tc>
      </w:tr>
      <w:tr>
        <w:tc>
          <w:tcPr/>
          <w:p>
            <w:pPr>
              <w:pStyle w:val="Compact"/>
            </w:pPr>
            <w:r>
              <w:t xml:space="preserve">7</w:t>
            </w:r>
          </w:p>
        </w:tc>
        <w:tc>
          <w:tcPr/>
          <w:p>
            <w:pPr>
              <w:pStyle w:val="Compact"/>
            </w:pPr>
            <w:hyperlink r:id="rId72">
              <w:r>
                <w:rPr>
                  <w:rStyle w:val="Hyperlink"/>
                </w:rPr>
                <w:t xml:space="preserve">Data Visualization II</w:t>
              </w:r>
            </w:hyperlink>
          </w:p>
        </w:tc>
        <w:tc>
          <w:tcPr/>
          <w:p>
            <w:pPr>
              <w:pStyle w:val="Compact"/>
            </w:pPr>
            <w:r>
              <w:t xml:space="preserve">ggplot2</w:t>
            </w:r>
          </w:p>
        </w:tc>
        <w:tc>
          <w:tcPr/>
          <w:p>
            <w:pPr>
              <w:pStyle w:val="Compact"/>
            </w:pPr>
          </w:p>
        </w:tc>
      </w:tr>
      <w:tr>
        <w:tc>
          <w:tcPr/>
          <w:p>
            <w:pPr>
              <w:pStyle w:val="Compact"/>
            </w:pPr>
            <w:r>
              <w:t xml:space="preserve">8</w:t>
            </w:r>
          </w:p>
        </w:tc>
        <w:tc>
          <w:tcPr/>
          <w:p>
            <w:pPr>
              <w:pStyle w:val="Compact"/>
            </w:pPr>
            <w:r>
              <w:rPr>
                <w:b/>
                <w:bCs/>
              </w:rPr>
              <w:t xml:space="preserve">Core Exam (Thursday, October 16)</w:t>
            </w:r>
          </w:p>
        </w:tc>
        <w:tc>
          <w:tcPr/>
          <w:p>
            <w:pPr>
              <w:pStyle w:val="Compact"/>
            </w:pPr>
          </w:p>
        </w:tc>
        <w:tc>
          <w:tcPr/>
          <w:p>
            <w:pPr>
              <w:pStyle w:val="Compact"/>
            </w:pPr>
          </w:p>
        </w:tc>
      </w:tr>
      <w:tr>
        <w:tc>
          <w:tcPr/>
          <w:p>
            <w:pPr>
              <w:pStyle w:val="Compact"/>
            </w:pPr>
            <w:r>
              <w:t xml:space="preserve">9</w:t>
            </w:r>
          </w:p>
        </w:tc>
        <w:tc>
          <w:tcPr/>
          <w:p>
            <w:pPr>
              <w:pStyle w:val="Compact"/>
            </w:pPr>
            <w:r>
              <w:t xml:space="preserve">Social Networks &amp; Network Data</w:t>
            </w:r>
          </w:p>
        </w:tc>
        <w:tc>
          <w:tcPr/>
          <w:p>
            <w:pPr>
              <w:pStyle w:val="Compact"/>
            </w:pPr>
            <w:r>
              <w:t xml:space="preserve">iGraph; statnet</w:t>
            </w:r>
          </w:p>
        </w:tc>
        <w:tc>
          <w:tcPr/>
          <w:p>
            <w:pPr>
              <w:pStyle w:val="Compact"/>
            </w:pPr>
          </w:p>
        </w:tc>
      </w:tr>
      <w:tr>
        <w:tc>
          <w:tcPr/>
          <w:p>
            <w:pPr>
              <w:pStyle w:val="Compact"/>
            </w:pPr>
            <w:r>
              <w:t xml:space="preserve">10</w:t>
            </w:r>
          </w:p>
        </w:tc>
        <w:tc>
          <w:tcPr/>
          <w:p>
            <w:pPr>
              <w:pStyle w:val="Compact"/>
            </w:pPr>
            <w:r>
              <w:t xml:space="preserve">Census Data</w:t>
            </w:r>
          </w:p>
        </w:tc>
        <w:tc>
          <w:tcPr/>
          <w:p>
            <w:pPr>
              <w:pStyle w:val="Compact"/>
            </w:pPr>
            <w:r>
              <w:t xml:space="preserve">tidycensus</w:t>
            </w:r>
          </w:p>
        </w:tc>
        <w:tc>
          <w:tcPr/>
          <w:p>
            <w:pPr>
              <w:pStyle w:val="Compact"/>
            </w:pPr>
          </w:p>
        </w:tc>
      </w:tr>
      <w:tr>
        <w:tc>
          <w:tcPr/>
          <w:p>
            <w:pPr>
              <w:pStyle w:val="Compact"/>
            </w:pPr>
            <w:r>
              <w:t xml:space="preserve">11</w:t>
            </w:r>
          </w:p>
        </w:tc>
        <w:tc>
          <w:tcPr/>
          <w:p>
            <w:pPr>
              <w:pStyle w:val="Compact"/>
            </w:pPr>
            <w:r>
              <w:t xml:space="preserve">Maps &amp; GIS I</w:t>
            </w:r>
          </w:p>
        </w:tc>
        <w:tc>
          <w:tcPr/>
          <w:p>
            <w:pPr>
              <w:pStyle w:val="Compact"/>
            </w:pPr>
            <w:r>
              <w:t xml:space="preserve">sf; tigris</w:t>
            </w:r>
          </w:p>
        </w:tc>
        <w:tc>
          <w:tcPr/>
          <w:p>
            <w:pPr>
              <w:pStyle w:val="Compact"/>
            </w:pPr>
          </w:p>
        </w:tc>
      </w:tr>
      <w:tr>
        <w:tc>
          <w:tcPr/>
          <w:p>
            <w:pPr>
              <w:pStyle w:val="Compact"/>
            </w:pPr>
            <w:r>
              <w:t xml:space="preserve">12</w:t>
            </w:r>
          </w:p>
        </w:tc>
        <w:tc>
          <w:tcPr/>
          <w:p>
            <w:pPr>
              <w:pStyle w:val="Compact"/>
            </w:pPr>
            <w:r>
              <w:t xml:space="preserve">Maps &amp; GIS II</w:t>
            </w:r>
          </w:p>
        </w:tc>
        <w:tc>
          <w:tcPr/>
          <w:p>
            <w:pPr>
              <w:pStyle w:val="Compact"/>
            </w:pPr>
            <w:r>
              <w:t xml:space="preserve">mapgl; mapbox; osm</w:t>
            </w:r>
          </w:p>
        </w:tc>
        <w:tc>
          <w:tcPr/>
          <w:p>
            <w:pPr>
              <w:pStyle w:val="Compact"/>
            </w:pPr>
          </w:p>
        </w:tc>
      </w:tr>
      <w:tr>
        <w:tc>
          <w:tcPr/>
          <w:p>
            <w:pPr>
              <w:pStyle w:val="Compact"/>
            </w:pPr>
            <w:r>
              <w:t xml:space="preserve">13</w:t>
            </w:r>
          </w:p>
        </w:tc>
        <w:tc>
          <w:tcPr/>
          <w:p>
            <w:pPr>
              <w:pStyle w:val="Compact"/>
            </w:pPr>
            <w:r>
              <w:t xml:space="preserve">Accessing &amp; Using External Data</w:t>
            </w:r>
          </w:p>
        </w:tc>
        <w:tc>
          <w:tcPr/>
          <w:p>
            <w:pPr>
              <w:pStyle w:val="Compact"/>
            </w:pPr>
            <w:r>
              <w:t xml:space="preserve">SQL, other APIs</w:t>
            </w:r>
          </w:p>
        </w:tc>
        <w:tc>
          <w:tcPr/>
          <w:p>
            <w:pPr>
              <w:pStyle w:val="Compact"/>
            </w:pPr>
          </w:p>
        </w:tc>
      </w:tr>
      <w:tr>
        <w:tc>
          <w:tcPr/>
          <w:p>
            <w:pPr>
              <w:pStyle w:val="Compact"/>
            </w:pPr>
            <w:r>
              <w:t xml:space="preserve">14</w:t>
            </w:r>
          </w:p>
        </w:tc>
        <w:tc>
          <w:tcPr/>
          <w:p>
            <w:pPr>
              <w:pStyle w:val="Compact"/>
            </w:pPr>
            <w:r>
              <w:t xml:space="preserve">Project Work</w:t>
            </w:r>
          </w:p>
        </w:tc>
        <w:tc>
          <w:tcPr/>
          <w:p>
            <w:pPr>
              <w:pStyle w:val="Compact"/>
            </w:pPr>
          </w:p>
        </w:tc>
        <w:tc>
          <w:tcPr/>
          <w:p>
            <w:pPr>
              <w:pStyle w:val="Compact"/>
            </w:pPr>
          </w:p>
        </w:tc>
      </w:tr>
      <w:tr>
        <w:tc>
          <w:tcPr/>
          <w:p>
            <w:pPr>
              <w:pStyle w:val="Compact"/>
            </w:pPr>
            <w:r>
              <w:t xml:space="preserve">15</w:t>
            </w:r>
          </w:p>
        </w:tc>
        <w:tc>
          <w:tcPr/>
          <w:p>
            <w:pPr>
              <w:pStyle w:val="Compact"/>
            </w:pPr>
            <w:r>
              <w:t xml:space="preserve">Project Presentations</w:t>
            </w:r>
          </w:p>
        </w:tc>
        <w:tc>
          <w:tcPr/>
          <w:p>
            <w:pPr>
              <w:pStyle w:val="Compact"/>
            </w:pPr>
          </w:p>
        </w:tc>
        <w:tc>
          <w:tcPr/>
          <w:p>
            <w:pPr>
              <w:pStyle w:val="Compact"/>
            </w:pPr>
          </w:p>
        </w:tc>
      </w:tr>
      <w:tr>
        <w:tc>
          <w:tcPr/>
          <w:p>
            <w:pPr>
              <w:pStyle w:val="Compact"/>
            </w:pPr>
            <w:r>
              <w:t xml:space="preserve">F</w:t>
            </w:r>
          </w:p>
        </w:tc>
        <w:tc>
          <w:tcPr/>
          <w:p>
            <w:pPr>
              <w:pStyle w:val="Compact"/>
            </w:pPr>
            <w:r>
              <w:rPr>
                <w:b/>
                <w:bCs/>
              </w:rPr>
              <w:t xml:space="preserve">Finals Week (Project Due)</w:t>
            </w:r>
          </w:p>
        </w:tc>
        <w:tc>
          <w:tcPr/>
          <w:p>
            <w:pPr>
              <w:pStyle w:val="Compact"/>
            </w:pPr>
          </w:p>
        </w:tc>
        <w:tc>
          <w:tcPr/>
          <w:p>
            <w:pPr>
              <w:pStyle w:val="Compact"/>
            </w:pPr>
          </w:p>
        </w:tc>
      </w:tr>
    </w:tbl>
    <w:p>
      <w:r>
        <w:pict>
          <v:rect style="width:0;height:1.5pt" o:hralign="center" o:hrstd="t" o:hr="t"/>
        </w:pict>
      </w:r>
    </w:p>
    <w:p>
      <w:pPr>
        <w:pStyle w:val="FirstParagraph"/>
      </w:pPr>
      <w:r>
        <w:rPr>
          <w:i/>
          <w:iCs/>
        </w:rPr>
        <w:t xml:space="preserve">Advanced Topics (if we have time)</w:t>
      </w:r>
    </w:p>
    <w:tbl>
      <w:tblPr>
        <w:tblStyle w:val="Table"/>
        <w:tblW w:type="pct" w:w="5000"/>
        <w:tblLayout w:type="fixed"/>
        <w:tblLook w:firstRow="1" w:lastRow="0" w:firstColumn="0" w:lastColumn="0" w:noHBand="0" w:noVBand="0" w:val="0020"/>
      </w:tblPr>
      <w:tblGrid>
        <w:gridCol w:w="819"/>
        <w:gridCol w:w="4369"/>
        <w:gridCol w:w="1502"/>
        <w:gridCol w:w="1228"/>
      </w:tblGrid>
      <w:tr>
        <w:trPr>
          <w:tblHeader w:val="on"/>
        </w:trPr>
        <w:tc>
          <w:tcPr/>
          <w:p>
            <w:pPr>
              <w:pStyle w:val="Compact"/>
            </w:pPr>
            <w:r>
              <w:t xml:space="preserve">Week</w:t>
            </w:r>
          </w:p>
        </w:tc>
        <w:tc>
          <w:tcPr/>
          <w:p>
            <w:pPr>
              <w:pStyle w:val="Compact"/>
            </w:pPr>
            <w:r>
              <w:rPr>
                <w:b/>
                <w:bCs/>
              </w:rPr>
              <w:t xml:space="preserve">Topic</w:t>
            </w:r>
          </w:p>
        </w:tc>
        <w:tc>
          <w:tcPr/>
          <w:p>
            <w:pPr>
              <w:pStyle w:val="Compact"/>
            </w:pPr>
            <w:r>
              <w:rPr>
                <w:b/>
                <w:bCs/>
              </w:rPr>
              <w:t xml:space="preserve">Tools</w:t>
            </w:r>
          </w:p>
        </w:tc>
        <w:tc>
          <w:tcPr/>
          <w:p>
            <w:pPr>
              <w:pStyle w:val="Compact"/>
            </w:pPr>
          </w:p>
        </w:tc>
      </w:tr>
      <w:tr>
        <w:tc>
          <w:tcPr/>
          <w:p>
            <w:pPr>
              <w:pStyle w:val="Compact"/>
            </w:pPr>
            <w:r>
              <w:t xml:space="preserve">16</w:t>
            </w:r>
          </w:p>
        </w:tc>
        <w:tc>
          <w:tcPr/>
          <w:p>
            <w:pPr>
              <w:pStyle w:val="Compact"/>
            </w:pPr>
            <w:r>
              <w:t xml:space="preserve">Text Data &amp; Data Scraping</w:t>
            </w:r>
          </w:p>
        </w:tc>
        <w:tc>
          <w:tcPr/>
          <w:p>
            <w:pPr>
              <w:pStyle w:val="Compact"/>
            </w:pPr>
          </w:p>
        </w:tc>
        <w:tc>
          <w:tcPr/>
          <w:p>
            <w:pPr>
              <w:pStyle w:val="Compact"/>
            </w:pPr>
          </w:p>
        </w:tc>
      </w:tr>
      <w:tr>
        <w:tc>
          <w:tcPr/>
          <w:p>
            <w:pPr>
              <w:pStyle w:val="Compact"/>
            </w:pPr>
            <w:r>
              <w:t xml:space="preserve">17</w:t>
            </w:r>
          </w:p>
        </w:tc>
        <w:tc>
          <w:tcPr/>
          <w:p>
            <w:pPr>
              <w:pStyle w:val="Compact"/>
            </w:pPr>
            <w:r>
              <w:t xml:space="preserve">Web Apps &amp; Visualization</w:t>
            </w:r>
          </w:p>
        </w:tc>
        <w:tc>
          <w:tcPr/>
          <w:p>
            <w:pPr>
              <w:pStyle w:val="Compact"/>
            </w:pPr>
            <w:r>
              <w:t xml:space="preserve">quarto, shiny</w:t>
            </w:r>
          </w:p>
        </w:tc>
        <w:tc>
          <w:tcPr/>
          <w:p>
            <w:pPr>
              <w:pStyle w:val="Compact"/>
            </w:pPr>
          </w:p>
        </w:tc>
      </w:tr>
      <w:tr>
        <w:tc>
          <w:tcPr/>
          <w:p>
            <w:pPr>
              <w:pStyle w:val="Compact"/>
            </w:pPr>
            <w:r>
              <w:t xml:space="preserve">18</w:t>
            </w:r>
          </w:p>
        </w:tc>
        <w:tc>
          <w:tcPr/>
          <w:p>
            <w:pPr>
              <w:pStyle w:val="Compact"/>
            </w:pPr>
            <w:r>
              <w:t xml:space="preserve">AI Pair Programming &amp;</w:t>
            </w:r>
            <w:r>
              <w:t xml:space="preserve"> </w:t>
            </w:r>
            <w:r>
              <w:t xml:space="preserve">“Vibe Coding”</w:t>
            </w:r>
          </w:p>
        </w:tc>
        <w:tc>
          <w:tcPr/>
          <w:p>
            <w:pPr>
              <w:pStyle w:val="Compact"/>
            </w:pPr>
            <w:r>
              <w:t xml:space="preserve">github copilot</w:t>
            </w:r>
          </w:p>
        </w:tc>
        <w:tc>
          <w:tcPr/>
          <w:p>
            <w:pPr>
              <w:pStyle w:val="Compact"/>
            </w:pPr>
          </w:p>
        </w:tc>
      </w:tr>
      <w:tr>
        <w:tc>
          <w:tcPr/>
          <w:p>
            <w:pPr>
              <w:pStyle w:val="Compact"/>
            </w:pPr>
            <w:r>
              <w:t xml:space="preserve">19</w:t>
            </w:r>
          </w:p>
        </w:tc>
        <w:tc>
          <w:tcPr/>
          <w:p>
            <w:pPr>
              <w:pStyle w:val="Compact"/>
            </w:pPr>
            <w:r>
              <w:t xml:space="preserve">Local LLMs</w:t>
            </w:r>
          </w:p>
        </w:tc>
        <w:tc>
          <w:tcPr/>
          <w:p>
            <w:pPr>
              <w:pStyle w:val="Compact"/>
            </w:pPr>
          </w:p>
        </w:tc>
        <w:tc>
          <w:tcPr/>
          <w:p>
            <w:pPr>
              <w:pStyle w:val="Compact"/>
            </w:pPr>
          </w:p>
        </w:tc>
      </w:tr>
    </w:tbl>
    <w:bookmarkEnd w:id="73"/>
    <w:bookmarkEnd w:id="74"/>
    <w:bookmarkStart w:id="100"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75">
        <w:r>
          <w:rPr>
            <w:rStyle w:val="Hyperlink"/>
          </w:rPr>
          <w:t xml:space="preserve">here</w:t>
        </w:r>
      </w:hyperlink>
      <w:r>
        <w:t xml:space="preserve">.</w:t>
      </w:r>
    </w:p>
    <w:bookmarkStart w:id="76"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76"/>
    <w:bookmarkStart w:id="79"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77">
        <w:r>
          <w:rPr>
            <w:rStyle w:val="Hyperlink"/>
          </w:rPr>
          <w:t xml:space="preserve">Syracuse University Academic Integrity Policy</w:t>
        </w:r>
      </w:hyperlink>
      <w:r>
        <w:t xml:space="preserve"> </w:t>
      </w:r>
      <w:r>
        <w:t xml:space="preserve">can be viewed by visiting the</w:t>
      </w:r>
      <w:r>
        <w:t xml:space="preserve"> </w:t>
      </w:r>
      <w:hyperlink r:id="rId78">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79"/>
    <w:bookmarkStart w:id="81"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80">
        <w:r>
          <w:rPr>
            <w:rStyle w:val="Hyperlink"/>
          </w:rPr>
          <w:t xml:space="preserve">general campus AI policies here</w:t>
        </w:r>
      </w:hyperlink>
      <w:r>
        <w:t xml:space="preserve">.</w:t>
      </w:r>
    </w:p>
    <w:bookmarkEnd w:id="81"/>
    <w:bookmarkStart w:id="82"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82"/>
    <w:bookmarkStart w:id="86"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83">
        <w:r>
          <w:rPr>
            <w:rStyle w:val="Hyperlink"/>
          </w:rPr>
          <w:t xml:space="preserve">Faculty: Information for Faculty: Non-attendance or Stopped Attending</w:t>
        </w:r>
      </w:hyperlink>
      <w:r>
        <w:t xml:space="preserve"> </w:t>
      </w:r>
      <w:hyperlink r:id="rId84">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85">
        <w:r>
          <w:rPr>
            <w:rStyle w:val="Hyperlink"/>
          </w:rPr>
          <w:t xml:space="preserve">Student Outreach and Support: Absence Notifications</w:t>
        </w:r>
      </w:hyperlink>
      <w:r>
        <w:t xml:space="preserve">.</w:t>
      </w:r>
    </w:p>
    <w:bookmarkEnd w:id="86"/>
    <w:bookmarkStart w:id="90"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87">
        <w:r>
          <w:rPr>
            <w:rStyle w:val="Hyperlink"/>
          </w:rPr>
          <w:t xml:space="preserve">Answers Blackboard</w:t>
        </w:r>
      </w:hyperlink>
      <w:r>
        <w:t xml:space="preserve">; alternatively, you can contact Information Technology Services by sending an email to</w:t>
      </w:r>
      <w:r>
        <w:t xml:space="preserve"> </w:t>
      </w:r>
      <w:hyperlink r:id="rId88">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89">
        <w:r>
          <w:rPr>
            <w:rStyle w:val="Hyperlink"/>
          </w:rPr>
          <w:t xml:space="preserve">ITS website</w:t>
        </w:r>
      </w:hyperlink>
      <w:r>
        <w:t xml:space="preserve">.</w:t>
      </w:r>
    </w:p>
    <w:bookmarkEnd w:id="90"/>
    <w:bookmarkStart w:id="92"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91">
        <w:r>
          <w:rPr>
            <w:rStyle w:val="Hyperlink"/>
          </w:rPr>
          <w:t xml:space="preserve">equalopp@syr.edu</w:t>
        </w:r>
      </w:hyperlink>
      <w:r>
        <w:t xml:space="preserve">; or by telephone: 315-443-4018.</w:t>
      </w:r>
    </w:p>
    <w:bookmarkEnd w:id="92"/>
    <w:bookmarkStart w:id="93"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93"/>
    <w:bookmarkStart w:id="95"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94">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95"/>
    <w:bookmarkStart w:id="97" w:name="faith-and-religious-accommodations"/>
    <w:p>
      <w:pPr>
        <w:pStyle w:val="Heading2"/>
      </w:pPr>
      <w:r>
        <w:t xml:space="preserve">🌐 Faith and Religious Accommodations</w:t>
      </w:r>
    </w:p>
    <w:p>
      <w:pPr>
        <w:pStyle w:val="FirstParagraph"/>
      </w:pPr>
      <w:hyperlink r:id="rId96">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97"/>
    <w:bookmarkStart w:id="99"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98">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99"/>
    <w:bookmarkEnd w:id="1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65" Target="assignments/assign1.qmd" TargetMode="External" /><Relationship Type="http://schemas.openxmlformats.org/officeDocument/2006/relationships/hyperlink" Id="rId66" Target="assignments/assign2.qmd" TargetMode="External" /><Relationship Type="http://schemas.openxmlformats.org/officeDocument/2006/relationships/hyperlink" Id="rId67" Target="assignments/assign3.qmd" TargetMode="External" /><Relationship Type="http://schemas.openxmlformats.org/officeDocument/2006/relationships/hyperlink" Id="rId68" Target="assignments/assign4.qmd" TargetMode="External" /><Relationship Type="http://schemas.openxmlformats.org/officeDocument/2006/relationships/hyperlink" Id="rId69" Target="assignments/assign5.qmd" TargetMode="External" /><Relationship Type="http://schemas.openxmlformats.org/officeDocument/2006/relationships/hyperlink" Id="rId70" Target="assignments/assign6.qmd" TargetMode="External" /><Relationship Type="http://schemas.openxmlformats.org/officeDocument/2006/relationships/hyperlink" Id="rId71" Target="assignments/assign7.qmd" TargetMode="External" /><Relationship Type="http://schemas.openxmlformats.org/officeDocument/2006/relationships/hyperlink" Id="rId72" Target="assignments/assign8.qmd" TargetMode="External" /><Relationship Type="http://schemas.openxmlformats.org/officeDocument/2006/relationships/hyperlink" Id="rId41" Target="http://blackboard.syr.edu" TargetMode="External" /><Relationship Type="http://schemas.openxmlformats.org/officeDocument/2006/relationships/hyperlink" Id="rId89" Target="http://its.syr.edu/its_service_center" TargetMode="External" /><Relationship Type="http://schemas.openxmlformats.org/officeDocument/2006/relationships/hyperlink" Id="rId59" Target="http://jacklreilly.github.io" TargetMode="External" /><Relationship Type="http://schemas.openxmlformats.org/officeDocument/2006/relationships/hyperlink" Id="rId83" Target="http://registrar.syr.edu/faculty-staff/non-attendance/" TargetMode="External" /><Relationship Type="http://schemas.openxmlformats.org/officeDocument/2006/relationships/hyperlink" Id="rId84" Target="http://registrar.syr.edu/students/non-attendance/"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98" Target="https://ese.syr.edu/bewell/" TargetMode="External" /><Relationship Type="http://schemas.openxmlformats.org/officeDocument/2006/relationships/hyperlink" Id="rId85" Target="https://experience.syracuse.edu/student-outreach/student-support/absence-notifications/" TargetMode="External" /><Relationship Type="http://schemas.openxmlformats.org/officeDocument/2006/relationships/hyperlink" Id="rId80" Target="https://its.syr.edu/artificialintelligence/aiguidelines/"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75" Target="https://policies.syr.edu" TargetMode="External" /><Relationship Type="http://schemas.openxmlformats.org/officeDocument/2006/relationships/hyperlink" Id="rId78" Target="https://policies.syr.edu/" TargetMode="External" /><Relationship Type="http://schemas.openxmlformats.org/officeDocument/2006/relationships/hyperlink" Id="rId77" Target="https://policies.syr.edu/policies/academic-rules-student-responsibilities-and-services/academic-integrity-policy/" TargetMode="External" /><Relationship Type="http://schemas.openxmlformats.org/officeDocument/2006/relationships/hyperlink" Id="rId96" Target="https://policies.syr.edu/policies/university-governance-ethics-integrity-and-legal-compliance/religious-observances-policy/"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87" Target="https://su-jsm.atlassian.net/wiki/x/zcUzCQ"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94" Target="mailto:disabilityresources@syr.edu" TargetMode="External" /><Relationship Type="http://schemas.openxmlformats.org/officeDocument/2006/relationships/hyperlink" Id="rId91" Target="mailto:equalopp@syr.edu" TargetMode="External" /><Relationship Type="http://schemas.openxmlformats.org/officeDocument/2006/relationships/hyperlink" Id="rId88" Target="mailto:help@syr.edu"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 400/600: Data Wrangling and Visualization</dc:title>
  <dc:creator>Prof. Jack Reilly</dc:creator>
  <cp:keywords/>
  <dcterms:created xsi:type="dcterms:W3CDTF">2025-09-25T17:44:09Z</dcterms:created>
  <dcterms:modified xsi:type="dcterms:W3CDTF">2025-09-25T17:44:09Z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F2025</vt:lpwstr>
  </property>
  <property fmtid="{D5CDD505-2E9C-101B-9397-08002B2CF9AE}" pid="4" name="format">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Course Syllabus</vt:lpwstr>
  </property>
  <property fmtid="{D5CDD505-2E9C-101B-9397-08002B2CF9AE}" pid="10" name="toc-title">
    <vt:lpwstr>Table of contents</vt:lpwstr>
  </property>
</Properties>
</file>