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PAI 400/600: Data Wrangling and Visualization</w:t>
      </w:r>
    </w:p>
    <w:p>
      <w:pPr>
        <w:pStyle w:val="Subtitle"/>
      </w:pPr>
      <w:r>
        <w:t xml:space="preserve">Course Syllabus</w:t>
      </w:r>
    </w:p>
    <w:p>
      <w:pPr>
        <w:pStyle w:val="Author"/>
      </w:pPr>
      <w:r>
        <w:t xml:space="preserve">Prof. Jack Reilly</w:t>
      </w:r>
    </w:p>
    <w:p>
      <w:pPr>
        <w:pStyle w:val="Date"/>
      </w:pPr>
      <w:r>
        <w:t xml:space="preserve">F2025</w:t>
      </w:r>
    </w:p>
    <w:bookmarkStart w:id="25" w:name="course-information"/>
    <w:p>
      <w:pPr>
        <w:pStyle w:val="Heading1"/>
      </w:pPr>
      <w:r>
        <w:t xml:space="preserve">Course Information</w:t>
      </w:r>
    </w:p>
    <w:bookmarkStart w:id="20" w:name="class"/>
    <w:p>
      <w:pPr>
        <w:pStyle w:val="Heading2"/>
      </w:pPr>
      <w:r>
        <w:t xml:space="preserve">Class</w:t>
      </w:r>
    </w:p>
    <w:p>
      <w:pPr>
        <w:pStyle w:val="FirstParagraph"/>
      </w:pPr>
      <w:r>
        <w:rPr>
          <w:b/>
          <w:bCs/>
        </w:rPr>
        <w:t xml:space="preserve">Time</w:t>
      </w:r>
      <w:r>
        <w:t xml:space="preserve">: Tuesdays and Thursday, 2:00 PM - 3:20 PM</w:t>
      </w:r>
    </w:p>
    <w:p>
      <w:pPr>
        <w:pStyle w:val="BodyText"/>
      </w:pPr>
      <w:r>
        <w:rPr>
          <w:b/>
          <w:bCs/>
        </w:rPr>
        <w:t xml:space="preserve">Location</w:t>
      </w:r>
      <w:r>
        <w:t xml:space="preserve">: Eggers 225B</w:t>
      </w:r>
    </w:p>
    <w:bookmarkEnd w:id="20"/>
    <w:bookmarkStart w:id="24" w:name="instructor"/>
    <w:p>
      <w:pPr>
        <w:pStyle w:val="Heading2"/>
      </w:pPr>
      <w:r>
        <w:t xml:space="preserve">Instructor</w:t>
      </w:r>
    </w:p>
    <w:p>
      <w:pPr>
        <w:pStyle w:val="FirstParagraph"/>
      </w:pPr>
      <w:r>
        <w:rPr>
          <w:b/>
          <w:bCs/>
        </w:rPr>
        <w:t xml:space="preserve">Professor Jack Reilly</w:t>
      </w:r>
    </w:p>
    <w:p>
      <w:pPr>
        <w:pStyle w:val="BodyText"/>
      </w:pPr>
      <w:r>
        <w:rPr>
          <w:b/>
          <w:bCs/>
        </w:rPr>
        <w:t xml:space="preserve">Office</w:t>
      </w:r>
      <w:r>
        <w:t xml:space="preserve">: Eggers 225F</w:t>
      </w:r>
    </w:p>
    <w:p>
      <w:pPr>
        <w:pStyle w:val="BodyText"/>
      </w:pPr>
      <w:r>
        <w:rPr>
          <w:b/>
          <w:bCs/>
        </w:rPr>
        <w:t xml:space="preserve">Office Hours</w:t>
      </w:r>
      <w:r>
        <w:t xml:space="preserve">: Tuesday and Thursday, 11 AM - Noon (drop in) and by appointment.</w:t>
      </w:r>
      <w:r>
        <w:rPr>
          <w:rStyle w:val="FootnoteReference"/>
        </w:rPr>
        <w:footnoteReference w:id="21"/>
      </w:r>
    </w:p>
    <w:p>
      <w:pPr>
        <w:pStyle w:val="BodyText"/>
      </w:pPr>
      <w:r>
        <w:rPr>
          <w:b/>
          <w:bCs/>
        </w:rPr>
        <w:t xml:space="preserve">Zoom Hours</w:t>
      </w:r>
      <w:r>
        <w:t xml:space="preserve">: Friday, 1-3 (</w:t>
      </w:r>
      <w:hyperlink r:id="rId22">
        <w:r>
          <w:rPr>
            <w:rStyle w:val="Hyperlink"/>
          </w:rPr>
          <w:t xml:space="preserve">schedule online</w:t>
        </w:r>
      </w:hyperlink>
      <w:r>
        <w:t xml:space="preserve">)</w:t>
      </w:r>
    </w:p>
    <w:p>
      <w:pPr>
        <w:pStyle w:val="BodyText"/>
      </w:pPr>
      <w:r>
        <w:rPr>
          <w:b/>
          <w:bCs/>
        </w:rPr>
        <w:t xml:space="preserve">Phone</w:t>
      </w:r>
      <w:r>
        <w:t xml:space="preserve">: 315-443-2687 (office)</w:t>
      </w:r>
    </w:p>
    <w:p>
      <w:pPr>
        <w:pStyle w:val="BodyText"/>
      </w:pPr>
      <w:r>
        <w:rPr>
          <w:b/>
          <w:bCs/>
        </w:rPr>
        <w:t xml:space="preserve">e-mail</w:t>
      </w:r>
      <w:r>
        <w:t xml:space="preserve">:</w:t>
      </w:r>
      <w:r>
        <w:t xml:space="preserve"> </w:t>
      </w:r>
      <w:hyperlink r:id="rId23">
        <w:r>
          <w:rPr>
            <w:rStyle w:val="Hyperlink"/>
          </w:rPr>
          <w:t xml:space="preserve">jlreilly@syr.edu</w:t>
        </w:r>
      </w:hyperlink>
    </w:p>
    <w:bookmarkEnd w:id="24"/>
    <w:bookmarkEnd w:id="25"/>
    <w:bookmarkStart w:id="30" w:name="overview"/>
    <w:p>
      <w:pPr>
        <w:pStyle w:val="Heading1"/>
      </w:pPr>
      <w:r>
        <w:t xml:space="preserve">Overview</w:t>
      </w:r>
    </w:p>
    <w:bookmarkStart w:id="26" w:name="course-description"/>
    <w:p>
      <w:pPr>
        <w:pStyle w:val="Heading2"/>
      </w:pPr>
      <w:r>
        <w:t xml:space="preserve">Course Description</w:t>
      </w:r>
    </w:p>
    <w:p>
      <w:pPr>
        <w:pStyle w:val="FirstParagraph"/>
      </w:pPr>
      <w:r>
        <w:t xml:space="preserve">Every step in policymaking relies on data. This course introduces students to data management, wrangling, communication, and visualization in the context of public policy, public administration, and behavioral science as well as the technical tools necessary to do such work in an open and reproducible fashion.</w:t>
      </w:r>
    </w:p>
    <w:bookmarkEnd w:id="26"/>
    <w:bookmarkStart w:id="27" w:name="expanded-description"/>
    <w:p>
      <w:pPr>
        <w:pStyle w:val="Heading2"/>
      </w:pPr>
      <w:r>
        <w:t xml:space="preserve">Expanded Description</w:t>
      </w:r>
    </w:p>
    <w:p>
      <w:pPr>
        <w:pStyle w:val="FirstParagraph"/>
      </w:pPr>
      <w:r>
        <w:t xml:space="preserve">Data preprocessing, wrangling, and management often consumes a large fraction of the time spent doing quantitative data analysis in public administration, public policy, and behavioral science research. Yet these topics frequently do not receive regular attention in methodological courses that focus on statistical inference. This class introduces students to the technical tools necessary to do these tasks in an open and reproducible fashion suitable for modern computational data workflows in the public sector.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and a variety of helper programs to tie things together. Special attention will be paid to data frequently used in public policy, public administration, and behavioral science.</w:t>
      </w:r>
    </w:p>
    <w:bookmarkEnd w:id="27"/>
    <w:bookmarkStart w:id="28"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 and are conversant enough in statistics to be able to work with concepts like</w:t>
      </w:r>
      <w:r>
        <w:t xml:space="preserve"> </w:t>
      </w:r>
      <w:r>
        <w:t xml:space="preserve">“mean”</w:t>
      </w:r>
      <w:r>
        <w:t xml:space="preserve"> </w:t>
      </w:r>
      <w:r>
        <w:t xml:space="preserve">and</w:t>
      </w:r>
      <w:r>
        <w:t xml:space="preserve"> </w:t>
      </w:r>
      <w:r>
        <w:t xml:space="preserve">“standard deviation”</w:t>
      </w:r>
      <w:r>
        <w:t xml:space="preserve">.</w:t>
      </w:r>
    </w:p>
    <w:p>
      <w:pPr>
        <w:pStyle w:val="BodyText"/>
      </w:pPr>
      <w:r>
        <w:t xml:space="preserve">While this course has no</w:t>
      </w:r>
      <w:r>
        <w:t xml:space="preserve"> </w:t>
      </w:r>
      <w:r>
        <w:rPr>
          <w:i/>
          <w:iCs/>
        </w:rPr>
        <w:t xml:space="preserve">formal</w:t>
      </w:r>
      <w:r>
        <w:t xml:space="preserve"> </w:t>
      </w:r>
      <w:r>
        <w:t xml:space="preserve">pre-requisites, it does have a substantial</w:t>
      </w:r>
      <w:r>
        <w:t xml:space="preserve"> </w:t>
      </w:r>
      <w:r>
        <w:rPr>
          <w:i/>
          <w:iCs/>
        </w:rPr>
        <w:t xml:space="preserve">informal</w:t>
      </w:r>
      <w:r>
        <w:t xml:space="preserve"> </w:t>
      </w:r>
      <w:r>
        <w:t xml:space="preserve">prerequisite:</w:t>
      </w:r>
      <w:r>
        <w:t xml:space="preserve"> </w:t>
      </w:r>
      <w:r>
        <w:rPr>
          <w:b/>
          <w:bCs/>
        </w:rPr>
        <w:t xml:space="preserve">motivation</w:t>
      </w:r>
      <w:r>
        <w:t xml:space="preserve">. Learning a programming langauge is challenging work, and students must be prepared to invest the appropriate time, energy, effort, and -</w:t>
      </w:r>
      <w:r>
        <w:t xml:space="preserve"> </w:t>
      </w:r>
      <w:r>
        <w:rPr>
          <w:i/>
          <w:iCs/>
        </w:rPr>
        <w:t xml:space="preserve">above all</w:t>
      </w:r>
      <w:r>
        <w:t xml:space="preserve"> </w:t>
      </w:r>
      <w:r>
        <w:t xml:space="preserve">- patience.</w:t>
      </w:r>
    </w:p>
    <w:bookmarkEnd w:id="28"/>
    <w:bookmarkStart w:id="29" w:name="learning-objectives"/>
    <w:p>
      <w:pPr>
        <w:pStyle w:val="Heading2"/>
      </w:pPr>
      <w:r>
        <w:t xml:space="preserve">Learning Objectives</w:t>
      </w:r>
    </w:p>
    <w:p>
      <w:pPr>
        <w:pStyle w:val="Compact"/>
        <w:numPr>
          <w:ilvl w:val="0"/>
          <w:numId w:val="1001"/>
        </w:numPr>
      </w:pPr>
      <w:r>
        <w:t xml:space="preserve">Demonstrate capability in open science and contemporary reproducible data processing, wrangling, and management tools</w:t>
      </w:r>
    </w:p>
    <w:p>
      <w:pPr>
        <w:pStyle w:val="Compact"/>
        <w:numPr>
          <w:ilvl w:val="0"/>
          <w:numId w:val="1001"/>
        </w:numPr>
      </w:pPr>
      <w:r>
        <w:t xml:space="preserve">Apply appropriate principles of data and file management to data projects</w:t>
      </w:r>
    </w:p>
    <w:p>
      <w:pPr>
        <w:pStyle w:val="Compact"/>
        <w:numPr>
          <w:ilvl w:val="0"/>
          <w:numId w:val="1001"/>
        </w:numPr>
      </w:pPr>
      <w:r>
        <w:t xml:space="preserve">Evaluate the credibility and clarity of data visualizations</w:t>
      </w:r>
    </w:p>
    <w:p>
      <w:pPr>
        <w:pStyle w:val="Compact"/>
        <w:numPr>
          <w:ilvl w:val="0"/>
          <w:numId w:val="1001"/>
        </w:numPr>
      </w:pPr>
      <w:r>
        <w:t xml:space="preserve">Create effective, reproducible, and well designed data visualizations with appropriate tools</w:t>
      </w:r>
    </w:p>
    <w:p>
      <w:pPr>
        <w:pStyle w:val="Compact"/>
        <w:numPr>
          <w:ilvl w:val="0"/>
          <w:numId w:val="1001"/>
        </w:numPr>
      </w:pPr>
      <w:r>
        <w:t xml:space="preserve">Analyze large-N datasets commonly used in public policy and behavioral science</w:t>
      </w:r>
    </w:p>
    <w:bookmarkEnd w:id="29"/>
    <w:bookmarkEnd w:id="30"/>
    <w:bookmarkStart w:id="45" w:name="materials"/>
    <w:p>
      <w:pPr>
        <w:pStyle w:val="Heading1"/>
      </w:pPr>
      <w:r>
        <w:t xml:space="preserve">Materials</w:t>
      </w:r>
    </w:p>
    <w:bookmarkStart w:id="39" w:name="books"/>
    <w:p>
      <w:pPr>
        <w:pStyle w:val="Heading2"/>
      </w:pPr>
      <w:r>
        <w:t xml:space="preserve">Books</w:t>
      </w:r>
    </w:p>
    <w:p>
      <w:pPr>
        <w:pStyle w:val="Compact"/>
        <w:numPr>
          <w:ilvl w:val="0"/>
          <w:numId w:val="1002"/>
        </w:numPr>
      </w:pPr>
      <w:r>
        <w:t xml:space="preserve">Required:</w:t>
      </w:r>
    </w:p>
    <w:p>
      <w:pPr>
        <w:pStyle w:val="Compact"/>
        <w:numPr>
          <w:ilvl w:val="1"/>
          <w:numId w:val="1003"/>
        </w:numPr>
      </w:pPr>
      <w:r>
        <w:t xml:space="preserve">Weidmann, Nils.</w:t>
      </w:r>
      <w:r>
        <w:t xml:space="preserve"> </w:t>
      </w:r>
      <w:r>
        <w:rPr>
          <w:i/>
          <w:iCs/>
        </w:rPr>
        <w:t xml:space="preserve">Data Management for Social Scientists</w:t>
      </w:r>
      <w:r>
        <w:t xml:space="preserve">. Open access:</w:t>
      </w:r>
      <w:r>
        <w:t xml:space="preserve"> </w:t>
      </w:r>
      <w:hyperlink r:id="rId31">
        <w:r>
          <w:rPr>
            <w:rStyle w:val="Hyperlink"/>
          </w:rPr>
          <w:t xml:space="preserve">https://doi.org/10.1017/9781108990424</w:t>
        </w:r>
      </w:hyperlink>
    </w:p>
    <w:p>
      <w:pPr>
        <w:pStyle w:val="Compact"/>
        <w:numPr>
          <w:ilvl w:val="1"/>
          <w:numId w:val="1003"/>
        </w:numPr>
      </w:pPr>
      <w:r>
        <w:t xml:space="preserve">Healy, Kieran.</w:t>
      </w:r>
      <w:r>
        <w:t xml:space="preserve"> </w:t>
      </w:r>
      <w:r>
        <w:rPr>
          <w:i/>
          <w:iCs/>
        </w:rPr>
        <w:t xml:space="preserve">Data Visualization: A Practical Introduction</w:t>
      </w:r>
      <w:r>
        <w:t xml:space="preserve">. Open access:</w:t>
      </w:r>
      <w:r>
        <w:t xml:space="preserve"> </w:t>
      </w:r>
      <w:hyperlink r:id="rId32">
        <w:r>
          <w:rPr>
            <w:rStyle w:val="Hyperlink"/>
          </w:rPr>
          <w:t xml:space="preserve">https://socviz.co</w:t>
        </w:r>
      </w:hyperlink>
    </w:p>
    <w:p>
      <w:pPr>
        <w:pStyle w:val="Compact"/>
        <w:numPr>
          <w:ilvl w:val="0"/>
          <w:numId w:val="1002"/>
        </w:numPr>
      </w:pPr>
      <w:r>
        <w:t xml:space="preserve">Recommended: A book on R programming or data wrangling</w:t>
      </w:r>
    </w:p>
    <w:p>
      <w:pPr>
        <w:pStyle w:val="Compact"/>
        <w:numPr>
          <w:ilvl w:val="1"/>
          <w:numId w:val="1004"/>
        </w:numPr>
      </w:pPr>
      <w:r>
        <w:rPr>
          <w:i/>
          <w:iCs/>
        </w:rPr>
        <w:t xml:space="preserve">Recommended:</w:t>
      </w:r>
      <w:r>
        <w:t xml:space="preserve"> </w:t>
      </w:r>
      <w:r>
        <w:t xml:space="preserve">Braun &amp; Murdoch,</w:t>
      </w:r>
      <w:r>
        <w:t xml:space="preserve"> </w:t>
      </w:r>
      <w:r>
        <w:rPr>
          <w:i/>
          <w:iCs/>
        </w:rPr>
        <w:t xml:space="preserve">A First Course in Statistical Programming</w:t>
      </w:r>
      <w:r>
        <w:t xml:space="preserve">, 3rd Edition.</w:t>
      </w:r>
      <w:r>
        <w:t xml:space="preserve"> </w:t>
      </w:r>
      <w:r>
        <w:rPr>
          <w:i/>
          <w:iCs/>
        </w:rPr>
        <w:t xml:space="preserve">Purchase links:</w:t>
      </w:r>
      <w:r>
        <w:t xml:space="preserve"> </w:t>
      </w:r>
      <w:hyperlink r:id="rId33">
        <w:r>
          <w:rPr>
            <w:rStyle w:val="Hyperlink"/>
          </w:rPr>
          <w:t xml:space="preserve">cambridge</w:t>
        </w:r>
      </w:hyperlink>
      <w:r>
        <w:t xml:space="preserve"> </w:t>
      </w:r>
      <w:hyperlink r:id="rId34">
        <w:r>
          <w:rPr>
            <w:rStyle w:val="Hyperlink"/>
          </w:rPr>
          <w:t xml:space="preserve">amazon</w:t>
        </w:r>
      </w:hyperlink>
    </w:p>
    <w:p>
      <w:pPr>
        <w:pStyle w:val="Compact"/>
        <w:numPr>
          <w:ilvl w:val="1"/>
          <w:numId w:val="1004"/>
        </w:numPr>
      </w:pPr>
      <w:r>
        <w:rPr>
          <w:i/>
          <w:iCs/>
        </w:rPr>
        <w:t xml:space="preserve">Other options:</w:t>
      </w:r>
    </w:p>
    <w:p>
      <w:pPr>
        <w:pStyle w:val="Compact"/>
        <w:numPr>
          <w:ilvl w:val="2"/>
          <w:numId w:val="1005"/>
        </w:numPr>
      </w:pPr>
      <w:r>
        <w:t xml:space="preserve">Freeman &amp; Ross,</w:t>
      </w:r>
      <w:r>
        <w:t xml:space="preserve"> </w:t>
      </w:r>
      <w:r>
        <w:rPr>
          <w:i/>
          <w:iCs/>
        </w:rPr>
        <w:t xml:space="preserve">Programming Skills for Data Science</w:t>
      </w:r>
    </w:p>
    <w:p>
      <w:pPr>
        <w:pStyle w:val="Compact"/>
        <w:numPr>
          <w:ilvl w:val="2"/>
          <w:numId w:val="1005"/>
        </w:numPr>
      </w:pPr>
      <w:r>
        <w:t xml:space="preserve">Hadley Wickham, Garrett Grolemund, and Mine Çetinkaya-Rundel,</w:t>
      </w:r>
      <w:r>
        <w:t xml:space="preserve"> </w:t>
      </w:r>
      <w:r>
        <w:rPr>
          <w:i/>
          <w:iCs/>
        </w:rPr>
        <w:t xml:space="preserve">R for Data Science: Import, Tidy, Transform, Visualize, and Model Data</w:t>
      </w:r>
      <w:r>
        <w:t xml:space="preserve">, 2nd ed. </w:t>
      </w:r>
      <w:hyperlink r:id="rId35">
        <w:r>
          <w:rPr>
            <w:rStyle w:val="Hyperlink"/>
          </w:rPr>
          <w:t xml:space="preserve">https://r4ds.hadley.nz</w:t>
        </w:r>
      </w:hyperlink>
      <w:r>
        <w:t xml:space="preserve">.</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note.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Programming Book</w:t>
            </w:r>
          </w:p>
        </w:tc>
      </w:tr>
      <w:tr>
        <w:trPr>
          <w:cantSplit/>
        </w:trPr>
        <w:tc>
          <w:tcPr>
            <w:tcMar>
              <w:top w:w="108" w:type="dxa"/>
              <w:bottom w:w="108" w:type="dxa"/>
            </w:tcMar>
          </w:tcPr>
          <w:p>
            <w:pPr>
              <w:pStyle w:val="BodyText"/>
            </w:pPr>
            <w:pPr>
              <w:spacing w:before="16" w:after="16"/>
            </w:pPr>
            <w:r>
              <w:t xml:space="preserve">There are, in essence, three kinds of books that are useful for the class - a book on data management, a book on data visualization, and a book on data programming. For the first two, I’ve required the open access books by Weidmann and Healy (</w:t>
            </w:r>
            <w:r>
              <w:rPr>
                <w:b/>
                <w:bCs/>
              </w:rPr>
              <w:t xml:space="preserve">DMSS</w:t>
            </w:r>
            <w:r>
              <w:t xml:space="preserve"> </w:t>
            </w:r>
            <w:r>
              <w:t xml:space="preserve">and</w:t>
            </w:r>
            <w:r>
              <w:t xml:space="preserve"> </w:t>
            </w:r>
            <w:r>
              <w:rPr>
                <w:b/>
                <w:bCs/>
              </w:rPr>
              <w:t xml:space="preserve">DV</w:t>
            </w:r>
            <w:r>
              <w:t xml:space="preserve">, respectively). For the third, you have options. I recommend Braun and Murdoch (</w:t>
            </w:r>
            <w:r>
              <w:rPr>
                <w:b/>
                <w:bCs/>
              </w:rPr>
              <w:t xml:space="preserve">FCSP</w:t>
            </w:r>
            <w:r>
              <w:t xml:space="preserve">), which is a good general overview of the R language from a statistical programming perspecitve. Freeman &amp; Ross (</w:t>
            </w:r>
            <w:r>
              <w:rPr>
                <w:b/>
                <w:bCs/>
              </w:rPr>
              <w:t xml:space="preserve">PSDS</w:t>
            </w:r>
            <w:r>
              <w:t xml:space="preserve">) is a more general introduction to the overall data science technical environment, and Wickham et al (</w:t>
            </w:r>
            <w:r>
              <w:rPr>
                <w:b/>
                <w:bCs/>
              </w:rPr>
              <w:t xml:space="preserve">RDS</w:t>
            </w:r>
            <w:r>
              <w:t xml:space="preserve">) has the advantage of being open access (always useful).</w:t>
            </w:r>
            <w:r>
              <w:t xml:space="preserve"> </w:t>
            </w:r>
            <w:r>
              <w:rPr>
                <w:b/>
                <w:bCs/>
              </w:rPr>
              <w:t xml:space="preserve">PSDS</w:t>
            </w:r>
            <w:r>
              <w:t xml:space="preserve">, however, doesn’t have as detailed information on actual programming in it, and</w:t>
            </w:r>
            <w:r>
              <w:t xml:space="preserve"> </w:t>
            </w:r>
            <w:r>
              <w:rPr>
                <w:b/>
                <w:bCs/>
              </w:rPr>
              <w:t xml:space="preserve">RDW</w:t>
            </w:r>
            <w:r>
              <w:t xml:space="preserve"> </w:t>
            </w:r>
            <w:r>
              <w:t xml:space="preserve">but is primarily focused on the tidyverse, which our course is not exclusively focused on. We will cover all programming and scripting content in class, so the book you choose for background reference is up to you, but you will find it valuable to have one.</w:t>
            </w:r>
          </w:p>
          <w:p/>
        </w:tc>
      </w:tr>
    </w:tbl>
    <w:bookmarkEnd w:id="39"/>
    <w:bookmarkStart w:id="40"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40"/>
    <w:bookmarkStart w:id="44" w:name="online-course-resources"/>
    <w:p>
      <w:pPr>
        <w:pStyle w:val="Heading2"/>
      </w:pPr>
      <w:r>
        <w:t xml:space="preserve">Online Course Resources</w:t>
      </w:r>
    </w:p>
    <w:p>
      <w:pPr>
        <w:pStyle w:val="FirstParagraph"/>
      </w:pPr>
      <w:r>
        <w:t xml:space="preserve">Blackboard is our internet-based course platform:</w:t>
      </w:r>
      <w:r>
        <w:t xml:space="preserve"> </w:t>
      </w:r>
      <w:hyperlink r:id="rId41">
        <w:r>
          <w:rPr>
            <w:rStyle w:val="Hyperlink"/>
          </w:rPr>
          <w:t xml:space="preserve">http://blackboard.syr.edu</w:t>
        </w:r>
      </w:hyperlink>
      <w:r>
        <w:t xml:space="preserve">. In it, you will find submission portals for assignments and a link to the</w:t>
      </w:r>
      <w:r>
        <w:t xml:space="preserve"> </w:t>
      </w:r>
      <w:hyperlink r:id="rId42">
        <w:r>
          <w:rPr>
            <w:rStyle w:val="Hyperlink"/>
          </w:rPr>
          <w:t xml:space="preserve">course webpage</w:t>
        </w:r>
      </w:hyperlink>
      <w:r>
        <w:t xml:space="preserve">, where you can find the course syllabus, problem sets, and links to readings.</w:t>
      </w:r>
    </w:p>
    <w:p>
      <w:pPr>
        <w:pStyle w:val="BodyText"/>
      </w:pPr>
      <w:r>
        <w:t xml:space="preserve">You can also link to our</w:t>
      </w:r>
      <w:r>
        <w:t xml:space="preserve"> </w:t>
      </w:r>
      <w:hyperlink r:id="rId43">
        <w:r>
          <w:rPr>
            <w:rStyle w:val="Hyperlink"/>
          </w:rPr>
          <w:t xml:space="preserve">course drive here</w:t>
        </w:r>
      </w:hyperlink>
      <w:r>
        <w:t xml:space="preserve">, which contains lecture slides, data sets, and some other useful things for the class.</w:t>
      </w:r>
    </w:p>
    <w:p>
      <w:pPr>
        <w:pStyle w:val="BodyText"/>
      </w:pPr>
      <w:r>
        <w:t xml:space="preserve">Please note that class attendance is the primary source of course-related announcements and material.</w:t>
      </w:r>
    </w:p>
    <w:bookmarkEnd w:id="44"/>
    <w:bookmarkEnd w:id="45"/>
    <w:bookmarkStart w:id="57" w:name="course-requirements"/>
    <w:p>
      <w:pPr>
        <w:pStyle w:val="Heading1"/>
      </w:pPr>
      <w:r>
        <w:t xml:space="preserve">Course Requirements</w:t>
      </w:r>
    </w:p>
    <w:bookmarkStart w:id="46" w:name="overview-1"/>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6"/>
        </w:numPr>
      </w:pPr>
      <w:r>
        <w:t xml:space="preserve">Regular course participation and attendance (10%)</w:t>
      </w:r>
    </w:p>
    <w:p>
      <w:pPr>
        <w:pStyle w:val="Compact"/>
        <w:numPr>
          <w:ilvl w:val="0"/>
          <w:numId w:val="1006"/>
        </w:numPr>
      </w:pPr>
      <w:r>
        <w:t xml:space="preserve">Weekly Assignments (30%)</w:t>
      </w:r>
    </w:p>
    <w:p>
      <w:pPr>
        <w:pStyle w:val="Compact"/>
        <w:numPr>
          <w:ilvl w:val="0"/>
          <w:numId w:val="1006"/>
        </w:numPr>
      </w:pPr>
      <w:r>
        <w:t xml:space="preserve">Practicum (Take Home) (15%)</w:t>
      </w:r>
    </w:p>
    <w:p>
      <w:pPr>
        <w:pStyle w:val="Compact"/>
        <w:numPr>
          <w:ilvl w:val="0"/>
          <w:numId w:val="1006"/>
        </w:numPr>
      </w:pPr>
      <w:r>
        <w:t xml:space="preserve">Core Exam (In Class) (15%)</w:t>
      </w:r>
    </w:p>
    <w:p>
      <w:pPr>
        <w:pStyle w:val="Compact"/>
        <w:numPr>
          <w:ilvl w:val="0"/>
          <w:numId w:val="1006"/>
        </w:numPr>
      </w:pPr>
      <w:r>
        <w:t xml:space="preserve">Final Project (30%)</w:t>
      </w:r>
    </w:p>
    <w:bookmarkEnd w:id="46"/>
    <w:bookmarkStart w:id="49"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w:t>
      </w:r>
      <w:r>
        <w:t xml:space="preserve"> </w:t>
      </w:r>
      <w:r>
        <w:rPr>
          <w:i/>
          <w:iCs/>
        </w:rPr>
        <w:t xml:space="preserve">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material, do the reading, get notes from a friend, and still complete the assignment if you are able (and make sure to look over any assignment solutions). If you do these things and still feel like you’re missing something, please feel free to come into my office hours and we can talk it through.</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opt/quarto/share/formats/docx/note.png" id="4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Participation</w:t>
            </w:r>
          </w:p>
        </w:tc>
      </w:tr>
      <w:tr>
        <w:trPr>
          <w:cantSplit/>
        </w:trPr>
        <w:tc>
          <w:tcPr>
            <w:tcMar>
              <w:top w:w="108" w:type="dxa"/>
              <w:bottom w:w="108" w:type="dxa"/>
            </w:tcMar>
          </w:tcPr>
          <w:p>
            <w:pPr>
              <w:pStyle w:val="BodyText"/>
            </w:pPr>
            <w:pPr>
              <w:spacing w:before="16" w:after="16"/>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always coming in late and regularly distracting others, spontaneously breaking out into ribald song in the middle of class, etc).</w:t>
            </w:r>
          </w:p>
          <w:p/>
        </w:tc>
      </w:tr>
    </w:tbl>
    <w:bookmarkEnd w:id="49"/>
    <w:bookmarkStart w:id="52"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p>
      <w:pPr>
        <w:pStyle w:val="BodyText"/>
      </w:pPr>
      <w:r>
        <w:t xml:space="preserve">Students may miss up to two assignments with no penalty. Students may also work together on assignments - in fact, I encourage you to do so - although each student is ultimately responsible for their own learning and work.</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opt/quarto/share/formats/docx/note.png" id="51"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Effort-Based Evaluation</w:t>
            </w:r>
          </w:p>
        </w:tc>
      </w:tr>
      <w:tr>
        <w:trPr>
          <w:cantSplit/>
        </w:trPr>
        <w:tc>
          <w:tcPr>
            <w:tcMar>
              <w:top w:w="108" w:type="dxa"/>
              <w:bottom w:w="108" w:type="dxa"/>
            </w:tcMar>
          </w:tcPr>
          <w:p>
            <w:pPr>
              <w:pStyle w:val="BodyText"/>
            </w:pPr>
            <w:pPr>
              <w:spacing w:before="16" w:after="16"/>
            </w:pPr>
            <w:r>
              <w:t xml:space="preserve">Assignments are evaluated based upon effort and a check completion system. Students who answer every problem will earn a check, with each check worth one point toward their final assignment grade.</w:t>
            </w:r>
          </w:p>
          <w:p/>
        </w:tc>
      </w:tr>
    </w:tbl>
    <w:bookmarkEnd w:id="52"/>
    <w:bookmarkStart w:id="54" w:name="practicum"/>
    <w:p>
      <w:pPr>
        <w:pStyle w:val="Heading2"/>
      </w:pPr>
      <w:r>
        <w:t xml:space="preserve">Practicum</w:t>
      </w:r>
    </w:p>
    <w:p>
      <w:pPr>
        <w:pStyle w:val="FirstParagraph"/>
      </w:pPr>
      <w:r>
        <w:t xml:space="preserve">A practicum is a large assignment that is worth more and graded on a scale.</w:t>
      </w:r>
      <w:r>
        <w:rPr>
          <w:rStyle w:val="FootnoteReference"/>
        </w:rPr>
        <w:footnoteReference w:id="53"/>
      </w:r>
      <w:r>
        <w:t xml:space="preserve"> </w:t>
      </w:r>
      <w:r>
        <w:t xml:space="preserve">It is untimed, take-home, cumulative, and will be completed on your own time (and computer). Unlike the weekly assignments, you are not allowed to work together on the practicum. Essentially, think of it as take home test that complements the in-class core exam.</w:t>
      </w:r>
    </w:p>
    <w:bookmarkEnd w:id="54"/>
    <w:bookmarkStart w:id="55" w:name="core-exam"/>
    <w:p>
      <w:pPr>
        <w:pStyle w:val="Heading2"/>
      </w:pPr>
      <w:r>
        <w:t xml:space="preserve">Core Exam</w:t>
      </w:r>
    </w:p>
    <w:p>
      <w:pPr>
        <w:pStyle w:val="FirstParagraph"/>
      </w:pPr>
      <w:r>
        <w:t xml:space="preserve">The core exam will be in class. More information will be given as the exam gets closer.</w:t>
      </w:r>
    </w:p>
    <w:bookmarkEnd w:id="55"/>
    <w:bookmarkStart w:id="56" w:name="final-project"/>
    <w:p>
      <w:pPr>
        <w:pStyle w:val="Heading2"/>
      </w:pPr>
      <w:r>
        <w:t xml:space="preserve">Final Project</w:t>
      </w:r>
    </w:p>
    <w:p>
      <w:pPr>
        <w:pStyle w:val="FirstParagraph"/>
      </w:pPr>
      <w:r>
        <w:t xml:space="preserve">A project utilizing data of your own choice. Graduate students will have higher expectations than undergraduate students. More information will be given as the exam gets closer.</w:t>
      </w:r>
    </w:p>
    <w:bookmarkEnd w:id="56"/>
    <w:bookmarkEnd w:id="57"/>
    <w:bookmarkStart w:id="66" w:name="course-expectations-guidelines"/>
    <w:p>
      <w:pPr>
        <w:pStyle w:val="Heading1"/>
      </w:pPr>
      <w:r>
        <w:t xml:space="preserve">Course Expectations &amp; Guidelines</w:t>
      </w:r>
    </w:p>
    <w:bookmarkStart w:id="58" w:name="etiquette-decorum"/>
    <w:p>
      <w:pPr>
        <w:pStyle w:val="Heading2"/>
      </w:pPr>
      <w:r>
        <w:t xml:space="preserve">Etiquette &amp; Decorum</w:t>
      </w:r>
    </w:p>
    <w:p>
      <w:pPr>
        <w:pStyle w:val="FirstParagraph"/>
      </w:pPr>
      <w:r>
        <w:t xml:space="preserve">This is a graduate course: I take it for granted that you have a basic interest in the material, an enthusiastic attitude toward participation, and a respectful attitude to everyone in the room. A university classroom is fundamentally a learning community: be courteous to fellow students and the professor, don’t let yourself be distracted by your cell phone in class, and don’t let what is on your computer screen distract fellow students in the class, either.</w:t>
      </w:r>
    </w:p>
    <w:bookmarkEnd w:id="58"/>
    <w:bookmarkStart w:id="60"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59">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 or stop by to see if my door is open: if it’s open, come on in. (Don’t feel like you’re intruding! I’ll tell you if it’s not a good time.)</w:t>
      </w:r>
    </w:p>
    <w:bookmarkEnd w:id="60"/>
    <w:bookmarkStart w:id="64"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at the latest; if 10 PM Thursday, by 6 PM Friday; if you email me at 3 PM on Friday, by 6 PM Monday, etc.</w:t>
      </w:r>
      <w:r>
        <w:rPr>
          <w:rStyle w:val="FootnoteReference"/>
        </w:rPr>
        <w:footnoteReference w:id="61"/>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opt/quarto/share/formats/docx/note.png" id="63"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p/>
        </w:tc>
      </w:tr>
    </w:tbl>
    <w:bookmarkEnd w:id="64"/>
    <w:bookmarkStart w:id="65" w:name="course-schedule"/>
    <w:p>
      <w:pPr>
        <w:pStyle w:val="Heading2"/>
      </w:pPr>
      <w:r>
        <w:t xml:space="preserve">Course Schedule</w:t>
      </w:r>
    </w:p>
    <w:p>
      <w:pPr>
        <w:pStyle w:val="FirstParagraph"/>
      </w:pPr>
      <w:r>
        <w:rPr>
          <w:i/>
          <w:iCs/>
        </w:rPr>
        <w:t xml:space="preserve">subject to change</w:t>
      </w:r>
    </w:p>
    <w:tbl>
      <w:tblPr>
        <w:tblStyle w:val="Table"/>
        <w:tblW w:type="pct" w:w="5000"/>
        <w:tblLayout w:type="fixed"/>
        <w:tblLook w:firstRow="1" w:lastRow="0" w:firstColumn="0" w:lastColumn="0" w:noHBand="0" w:noVBand="0" w:val="0020"/>
      </w:tblPr>
      <w:tblGrid>
        <w:gridCol w:w="559"/>
        <w:gridCol w:w="3354"/>
        <w:gridCol w:w="3168"/>
        <w:gridCol w:w="838"/>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p>
        </w:tc>
      </w:tr>
      <w:tr>
        <w:tc>
          <w:tcPr/>
          <w:p>
            <w:pPr>
              <w:pStyle w:val="Compact"/>
            </w:pPr>
            <w:r>
              <w:t xml:space="preserve">1</w:t>
            </w:r>
          </w:p>
        </w:tc>
        <w:tc>
          <w:tcPr/>
          <w:p>
            <w:pPr>
              <w:pStyle w:val="Compact"/>
            </w:pPr>
            <w:r>
              <w:t xml:space="preserve">Course Introduction</w:t>
            </w:r>
          </w:p>
        </w:tc>
        <w:tc>
          <w:tcPr/>
          <w:p>
            <w:pPr>
              <w:pStyle w:val="Compact"/>
            </w:pPr>
            <w:r>
              <w:t xml:space="preserve">Scripts; R and RStudio</w:t>
            </w:r>
          </w:p>
        </w:tc>
        <w:tc>
          <w:tcPr/>
          <w:p>
            <w:pPr>
              <w:pStyle w:val="Compact"/>
            </w:pPr>
          </w:p>
        </w:tc>
      </w:tr>
      <w:tr>
        <w:tc>
          <w:tcPr/>
          <w:p>
            <w:pPr>
              <w:pStyle w:val="Compact"/>
            </w:pPr>
            <w:r>
              <w:t xml:space="preserve">2</w:t>
            </w:r>
          </w:p>
        </w:tc>
        <w:tc>
          <w:tcPr/>
          <w:p>
            <w:pPr>
              <w:pStyle w:val="Compact"/>
            </w:pPr>
            <w:r>
              <w:t xml:space="preserve">Reproducible Data Analyses</w:t>
            </w:r>
          </w:p>
        </w:tc>
        <w:tc>
          <w:tcPr/>
          <w:p>
            <w:pPr>
              <w:pStyle w:val="Compact"/>
            </w:pPr>
            <w:r>
              <w:t xml:space="preserve">Markup Languages; Quarto</w:t>
            </w:r>
          </w:p>
        </w:tc>
        <w:tc>
          <w:tcPr/>
          <w:p>
            <w:pPr>
              <w:pStyle w:val="Compact"/>
            </w:pPr>
          </w:p>
        </w:tc>
      </w:tr>
      <w:tr>
        <w:tc>
          <w:tcPr/>
          <w:p>
            <w:pPr>
              <w:pStyle w:val="Compact"/>
            </w:pPr>
            <w:r>
              <w:t xml:space="preserve">3</w:t>
            </w:r>
          </w:p>
        </w:tc>
        <w:tc>
          <w:tcPr/>
          <w:p>
            <w:pPr>
              <w:pStyle w:val="Compact"/>
            </w:pPr>
            <w:r>
              <w:t xml:space="preserve">File Management &amp; Version Control</w:t>
            </w:r>
          </w:p>
        </w:tc>
        <w:tc>
          <w:tcPr/>
          <w:p>
            <w:pPr>
              <w:pStyle w:val="Compact"/>
            </w:pPr>
            <w:r>
              <w:t xml:space="preserve">Filesystems; Git; GitHub</w:t>
            </w:r>
          </w:p>
        </w:tc>
        <w:tc>
          <w:tcPr/>
          <w:p>
            <w:pPr>
              <w:pStyle w:val="Compact"/>
            </w:pPr>
          </w:p>
        </w:tc>
      </w:tr>
      <w:tr>
        <w:tc>
          <w:tcPr/>
          <w:p>
            <w:pPr>
              <w:pStyle w:val="Compact"/>
            </w:pPr>
            <w:r>
              <w:t xml:space="preserve">4</w:t>
            </w:r>
          </w:p>
        </w:tc>
        <w:tc>
          <w:tcPr/>
          <w:p>
            <w:pPr>
              <w:pStyle w:val="Compact"/>
            </w:pPr>
            <w:r>
              <w:t xml:space="preserve">A Field Guide to Data</w:t>
            </w:r>
          </w:p>
        </w:tc>
        <w:tc>
          <w:tcPr/>
          <w:p>
            <w:pPr>
              <w:pStyle w:val="Compact"/>
            </w:pPr>
            <w:r>
              <w:t xml:space="preserve">Data Formats; Tidyverse</w:t>
            </w:r>
          </w:p>
        </w:tc>
        <w:tc>
          <w:tcPr/>
          <w:p>
            <w:pPr>
              <w:pStyle w:val="Compact"/>
            </w:pPr>
          </w:p>
        </w:tc>
      </w:tr>
      <w:tr>
        <w:tc>
          <w:tcPr/>
          <w:p>
            <w:pPr>
              <w:pStyle w:val="Compact"/>
            </w:pPr>
            <w:r>
              <w:t xml:space="preserve">5</w:t>
            </w:r>
          </w:p>
        </w:tc>
        <w:tc>
          <w:tcPr/>
          <w:p>
            <w:pPr>
              <w:pStyle w:val="Compact"/>
            </w:pPr>
            <w:r>
              <w:t xml:space="preserve">Wrangling Tidy Data; Flow Control</w:t>
            </w:r>
          </w:p>
        </w:tc>
        <w:tc>
          <w:tcPr/>
          <w:p>
            <w:pPr>
              <w:pStyle w:val="Compact"/>
            </w:pPr>
            <w:r>
              <w:t xml:space="preserve">Loops</w:t>
            </w:r>
          </w:p>
        </w:tc>
        <w:tc>
          <w:tcPr/>
          <w:p>
            <w:pPr>
              <w:pStyle w:val="Compact"/>
            </w:pPr>
          </w:p>
        </w:tc>
      </w:tr>
      <w:tr>
        <w:tc>
          <w:tcPr/>
          <w:p>
            <w:pPr>
              <w:pStyle w:val="Compact"/>
            </w:pPr>
            <w:r>
              <w:t xml:space="preserve">6</w:t>
            </w:r>
          </w:p>
        </w:tc>
        <w:tc>
          <w:tcPr/>
          <w:p>
            <w:pPr>
              <w:pStyle w:val="Compact"/>
            </w:pPr>
            <w:r>
              <w:t xml:space="preserve">Data Visualization I</w:t>
            </w:r>
          </w:p>
        </w:tc>
        <w:tc>
          <w:tcPr/>
          <w:p>
            <w:pPr>
              <w:pStyle w:val="Compact"/>
            </w:pPr>
            <w:r>
              <w:t xml:space="preserve">Grammar of Graphics; ggplot2</w:t>
            </w:r>
          </w:p>
        </w:tc>
        <w:tc>
          <w:tcPr/>
          <w:p>
            <w:pPr>
              <w:pStyle w:val="Compact"/>
            </w:pPr>
          </w:p>
        </w:tc>
      </w:tr>
      <w:tr>
        <w:tc>
          <w:tcPr/>
          <w:p>
            <w:pPr>
              <w:pStyle w:val="Compact"/>
            </w:pPr>
            <w:r>
              <w:t xml:space="preserve">7</w:t>
            </w:r>
          </w:p>
        </w:tc>
        <w:tc>
          <w:tcPr/>
          <w:p>
            <w:pPr>
              <w:pStyle w:val="Compact"/>
            </w:pPr>
            <w:r>
              <w:t xml:space="preserve">Data Visualization II</w:t>
            </w:r>
          </w:p>
        </w:tc>
        <w:tc>
          <w:tcPr/>
          <w:p>
            <w:pPr>
              <w:pStyle w:val="Compact"/>
            </w:pPr>
            <w:r>
              <w:t xml:space="preserve">ggplot2</w:t>
            </w:r>
          </w:p>
        </w:tc>
        <w:tc>
          <w:tcPr/>
          <w:p>
            <w:pPr>
              <w:pStyle w:val="Compact"/>
            </w:pPr>
          </w:p>
        </w:tc>
      </w:tr>
      <w:tr>
        <w:tc>
          <w:tcPr/>
          <w:p>
            <w:pPr>
              <w:pStyle w:val="Compact"/>
            </w:pPr>
            <w:r>
              <w:t xml:space="preserve">8</w:t>
            </w:r>
          </w:p>
        </w:tc>
        <w:tc>
          <w:tcPr/>
          <w:p>
            <w:pPr>
              <w:pStyle w:val="Compact"/>
            </w:pPr>
            <w:r>
              <w:rPr>
                <w:b/>
                <w:bCs/>
              </w:rPr>
              <w:t xml:space="preserve">Core Exam (Thursday, October 16)</w:t>
            </w:r>
          </w:p>
        </w:tc>
        <w:tc>
          <w:tcPr/>
          <w:p>
            <w:pPr>
              <w:pStyle w:val="Compact"/>
            </w:pPr>
          </w:p>
        </w:tc>
        <w:tc>
          <w:tcPr/>
          <w:p>
            <w:pPr>
              <w:pStyle w:val="Compact"/>
            </w:pPr>
          </w:p>
        </w:tc>
      </w:tr>
      <w:tr>
        <w:tc>
          <w:tcPr/>
          <w:p>
            <w:pPr>
              <w:pStyle w:val="Compact"/>
            </w:pPr>
            <w:r>
              <w:t xml:space="preserve">9</w:t>
            </w:r>
          </w:p>
        </w:tc>
        <w:tc>
          <w:tcPr/>
          <w:p>
            <w:pPr>
              <w:pStyle w:val="Compact"/>
            </w:pPr>
            <w:r>
              <w:t xml:space="preserve">Social Networks &amp; Network Data</w:t>
            </w:r>
          </w:p>
        </w:tc>
        <w:tc>
          <w:tcPr/>
          <w:p>
            <w:pPr>
              <w:pStyle w:val="Compact"/>
            </w:pPr>
            <w:r>
              <w:t xml:space="preserve">iGraph; statnet</w:t>
            </w:r>
          </w:p>
        </w:tc>
        <w:tc>
          <w:tcPr/>
          <w:p>
            <w:pPr>
              <w:pStyle w:val="Compact"/>
            </w:pPr>
          </w:p>
        </w:tc>
      </w:tr>
      <w:tr>
        <w:tc>
          <w:tcPr/>
          <w:p>
            <w:pPr>
              <w:pStyle w:val="Compact"/>
            </w:pPr>
            <w:r>
              <w:t xml:space="preserve">10</w:t>
            </w:r>
          </w:p>
        </w:tc>
        <w:tc>
          <w:tcPr/>
          <w:p>
            <w:pPr>
              <w:pStyle w:val="Compact"/>
            </w:pPr>
            <w:r>
              <w:t xml:space="preserve">Census Data</w:t>
            </w:r>
          </w:p>
        </w:tc>
        <w:tc>
          <w:tcPr/>
          <w:p>
            <w:pPr>
              <w:pStyle w:val="Compact"/>
            </w:pPr>
            <w:r>
              <w:t xml:space="preserve">tidycensus</w:t>
            </w:r>
          </w:p>
        </w:tc>
        <w:tc>
          <w:tcPr/>
          <w:p>
            <w:pPr>
              <w:pStyle w:val="Compact"/>
            </w:pPr>
          </w:p>
        </w:tc>
      </w:tr>
      <w:tr>
        <w:tc>
          <w:tcPr/>
          <w:p>
            <w:pPr>
              <w:pStyle w:val="Compact"/>
            </w:pPr>
            <w:r>
              <w:t xml:space="preserve">11</w:t>
            </w:r>
          </w:p>
        </w:tc>
        <w:tc>
          <w:tcPr/>
          <w:p>
            <w:pPr>
              <w:pStyle w:val="Compact"/>
            </w:pPr>
            <w:r>
              <w:t xml:space="preserve">Maps &amp; GIS I</w:t>
            </w:r>
          </w:p>
        </w:tc>
        <w:tc>
          <w:tcPr/>
          <w:p>
            <w:pPr>
              <w:pStyle w:val="Compact"/>
            </w:pPr>
            <w:r>
              <w:t xml:space="preserve">sf; tigris</w:t>
            </w:r>
          </w:p>
        </w:tc>
        <w:tc>
          <w:tcPr/>
          <w:p>
            <w:pPr>
              <w:pStyle w:val="Compact"/>
            </w:pPr>
          </w:p>
        </w:tc>
      </w:tr>
      <w:tr>
        <w:tc>
          <w:tcPr/>
          <w:p>
            <w:pPr>
              <w:pStyle w:val="Compact"/>
            </w:pPr>
            <w:r>
              <w:t xml:space="preserve">12</w:t>
            </w:r>
          </w:p>
        </w:tc>
        <w:tc>
          <w:tcPr/>
          <w:p>
            <w:pPr>
              <w:pStyle w:val="Compact"/>
            </w:pPr>
            <w:r>
              <w:t xml:space="preserve">Maps &amp; GIS II</w:t>
            </w:r>
          </w:p>
        </w:tc>
        <w:tc>
          <w:tcPr/>
          <w:p>
            <w:pPr>
              <w:pStyle w:val="Compact"/>
            </w:pPr>
            <w:r>
              <w:t xml:space="preserve">mapgl; mapbox; osm</w:t>
            </w:r>
          </w:p>
        </w:tc>
        <w:tc>
          <w:tcPr/>
          <w:p>
            <w:pPr>
              <w:pStyle w:val="Compact"/>
            </w:pPr>
          </w:p>
        </w:tc>
      </w:tr>
      <w:tr>
        <w:tc>
          <w:tcPr/>
          <w:p>
            <w:pPr>
              <w:pStyle w:val="Compact"/>
            </w:pPr>
            <w:r>
              <w:t xml:space="preserve">13</w:t>
            </w:r>
          </w:p>
        </w:tc>
        <w:tc>
          <w:tcPr/>
          <w:p>
            <w:pPr>
              <w:pStyle w:val="Compact"/>
            </w:pPr>
            <w:r>
              <w:t xml:space="preserve">Accessing &amp; Using External Data</w:t>
            </w:r>
          </w:p>
        </w:tc>
        <w:tc>
          <w:tcPr/>
          <w:p>
            <w:pPr>
              <w:pStyle w:val="Compact"/>
            </w:pPr>
            <w:r>
              <w:t xml:space="preserve">SQL, other APIs</w:t>
            </w:r>
          </w:p>
        </w:tc>
        <w:tc>
          <w:tcPr/>
          <w:p>
            <w:pPr>
              <w:pStyle w:val="Compact"/>
            </w:pPr>
          </w:p>
        </w:tc>
      </w:tr>
      <w:tr>
        <w:tc>
          <w:tcPr/>
          <w:p>
            <w:pPr>
              <w:pStyle w:val="Compact"/>
            </w:pPr>
            <w:r>
              <w:t xml:space="preserve">14</w:t>
            </w:r>
          </w:p>
        </w:tc>
        <w:tc>
          <w:tcPr/>
          <w:p>
            <w:pPr>
              <w:pStyle w:val="Compact"/>
            </w:pPr>
            <w:r>
              <w:t xml:space="preserve">Project Work</w:t>
            </w:r>
          </w:p>
        </w:tc>
        <w:tc>
          <w:tcPr/>
          <w:p>
            <w:pPr>
              <w:pStyle w:val="Compact"/>
            </w:pPr>
          </w:p>
        </w:tc>
        <w:tc>
          <w:tcPr/>
          <w:p>
            <w:pPr>
              <w:pStyle w:val="Compact"/>
            </w:pPr>
          </w:p>
        </w:tc>
      </w:tr>
      <w:tr>
        <w:tc>
          <w:tcPr/>
          <w:p>
            <w:pPr>
              <w:pStyle w:val="Compact"/>
            </w:pPr>
            <w:r>
              <w:t xml:space="preserve">15</w:t>
            </w:r>
          </w:p>
        </w:tc>
        <w:tc>
          <w:tcPr/>
          <w:p>
            <w:pPr>
              <w:pStyle w:val="Compact"/>
            </w:pPr>
            <w:r>
              <w:t xml:space="preserve">Project Presentations</w:t>
            </w:r>
          </w:p>
        </w:tc>
        <w:tc>
          <w:tcPr/>
          <w:p>
            <w:pPr>
              <w:pStyle w:val="Compact"/>
            </w:pPr>
          </w:p>
        </w:tc>
        <w:tc>
          <w:tcPr/>
          <w:p>
            <w:pPr>
              <w:pStyle w:val="Compact"/>
            </w:pPr>
          </w:p>
        </w:tc>
      </w:tr>
      <w:tr>
        <w:tc>
          <w:tcPr/>
          <w:p>
            <w:pPr>
              <w:pStyle w:val="Compact"/>
            </w:pPr>
            <w:r>
              <w:t xml:space="preserve">F</w:t>
            </w:r>
          </w:p>
        </w:tc>
        <w:tc>
          <w:tcPr/>
          <w:p>
            <w:pPr>
              <w:pStyle w:val="Compact"/>
            </w:pPr>
            <w:r>
              <w:rPr>
                <w:b/>
                <w:bCs/>
              </w:rPr>
              <w:t xml:space="preserve">Finals Week (Project Due)</w:t>
            </w:r>
          </w:p>
        </w:tc>
        <w:tc>
          <w:tcPr/>
          <w:p>
            <w:pPr>
              <w:pStyle w:val="Compact"/>
            </w:pPr>
          </w:p>
        </w:tc>
        <w:tc>
          <w:tcPr/>
          <w:p>
            <w:pPr>
              <w:pStyle w:val="Compact"/>
            </w:pPr>
          </w:p>
        </w:tc>
      </w:tr>
    </w:tbl>
    <w:p>
      <w:r>
        <w:pict>
          <v:rect style="width:0;height:1.5pt" o:hralign="center" o:hrstd="t" o:hr="t"/>
        </w:pict>
      </w:r>
    </w:p>
    <w:p>
      <w:pPr>
        <w:pStyle w:val="FirstParagraph"/>
      </w:pPr>
      <w:r>
        <w:rPr>
          <w:i/>
          <w:iCs/>
        </w:rPr>
        <w:t xml:space="preserve">Advanced Topics (if we have time)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r>
              <w:t xml:space="preserve">Reading</w:t>
            </w:r>
          </w:p>
        </w:tc>
      </w:tr>
      <w:tr>
        <w:tc>
          <w:tcPr/>
          <w:p>
            <w:pPr>
              <w:pStyle w:val="Compact"/>
            </w:pPr>
            <w:r>
              <w:t xml:space="preserve">16</w:t>
            </w:r>
          </w:p>
        </w:tc>
        <w:tc>
          <w:tcPr/>
          <w:p>
            <w:pPr>
              <w:pStyle w:val="Compact"/>
            </w:pPr>
            <w:r>
              <w:t xml:space="preserve">Text Data &amp; Data Scraping</w:t>
            </w:r>
          </w:p>
        </w:tc>
        <w:tc>
          <w:tcPr/>
          <w:p>
            <w:pPr>
              <w:pStyle w:val="Compact"/>
            </w:pPr>
          </w:p>
        </w:tc>
        <w:tc>
          <w:tcPr/>
          <w:p>
            <w:pPr>
              <w:pStyle w:val="Compact"/>
            </w:pPr>
          </w:p>
        </w:tc>
      </w:tr>
      <w:tr>
        <w:tc>
          <w:tcPr/>
          <w:p>
            <w:pPr>
              <w:pStyle w:val="Compact"/>
            </w:pPr>
            <w:r>
              <w:t xml:space="preserve">17</w:t>
            </w:r>
          </w:p>
        </w:tc>
        <w:tc>
          <w:tcPr/>
          <w:p>
            <w:pPr>
              <w:pStyle w:val="Compact"/>
            </w:pPr>
            <w:r>
              <w:t xml:space="preserve">Web Apps &amp; Visualization</w:t>
            </w:r>
          </w:p>
        </w:tc>
        <w:tc>
          <w:tcPr/>
          <w:p>
            <w:pPr>
              <w:pStyle w:val="Compact"/>
            </w:pPr>
          </w:p>
        </w:tc>
        <w:tc>
          <w:tcPr/>
          <w:p>
            <w:pPr>
              <w:pStyle w:val="Compact"/>
            </w:pPr>
          </w:p>
        </w:tc>
      </w:tr>
      <w:tr>
        <w:tc>
          <w:tcPr/>
          <w:p>
            <w:pPr>
              <w:pStyle w:val="Compact"/>
            </w:pPr>
            <w:r>
              <w:t xml:space="preserve">18</w:t>
            </w:r>
          </w:p>
        </w:tc>
        <w:tc>
          <w:tcPr/>
          <w:p>
            <w:pPr>
              <w:pStyle w:val="Compact"/>
            </w:pPr>
            <w:r>
              <w:t xml:space="preserve">AI Pair Programming &amp;</w:t>
            </w:r>
            <w:r>
              <w:t xml:space="preserve"> </w:t>
            </w:r>
            <w:r>
              <w:t xml:space="preserve">“Vibe Coding”</w:t>
            </w:r>
          </w:p>
        </w:tc>
        <w:tc>
          <w:tcPr/>
          <w:p>
            <w:pPr>
              <w:pStyle w:val="Compact"/>
            </w:pPr>
          </w:p>
        </w:tc>
        <w:tc>
          <w:tcPr/>
          <w:p>
            <w:pPr>
              <w:pStyle w:val="Compact"/>
            </w:pPr>
          </w:p>
        </w:tc>
      </w:tr>
      <w:tr>
        <w:tc>
          <w:tcPr/>
          <w:p>
            <w:pPr>
              <w:pStyle w:val="Compact"/>
            </w:pPr>
            <w:r>
              <w:t xml:space="preserve">19</w:t>
            </w:r>
          </w:p>
        </w:tc>
        <w:tc>
          <w:tcPr/>
          <w:p>
            <w:pPr>
              <w:pStyle w:val="Compact"/>
            </w:pPr>
            <w:r>
              <w:t xml:space="preserve">Local LLMs</w:t>
            </w:r>
          </w:p>
        </w:tc>
        <w:tc>
          <w:tcPr/>
          <w:p>
            <w:pPr>
              <w:pStyle w:val="Compact"/>
            </w:pPr>
          </w:p>
        </w:tc>
        <w:tc>
          <w:tcPr/>
          <w:p>
            <w:pPr>
              <w:pStyle w:val="Compact"/>
            </w:pPr>
          </w:p>
        </w:tc>
      </w:tr>
    </w:tbl>
    <w:bookmarkEnd w:id="65"/>
    <w:bookmarkEnd w:id="66"/>
    <w:bookmarkStart w:id="92"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67">
        <w:r>
          <w:rPr>
            <w:rStyle w:val="Hyperlink"/>
          </w:rPr>
          <w:t xml:space="preserve">here</w:t>
        </w:r>
      </w:hyperlink>
      <w:r>
        <w:t xml:space="preserve">.</w:t>
      </w:r>
    </w:p>
    <w:bookmarkStart w:id="68"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68"/>
    <w:bookmarkStart w:id="71"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69">
        <w:r>
          <w:rPr>
            <w:rStyle w:val="Hyperlink"/>
          </w:rPr>
          <w:t xml:space="preserve">Syracuse University Academic Integrity Policy</w:t>
        </w:r>
      </w:hyperlink>
      <w:r>
        <w:t xml:space="preserve"> </w:t>
      </w:r>
      <w:r>
        <w:t xml:space="preserve">can be viewed by visiting the</w:t>
      </w:r>
      <w:r>
        <w:t xml:space="preserve"> </w:t>
      </w:r>
      <w:hyperlink r:id="rId70">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71"/>
    <w:bookmarkStart w:id="73"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72">
        <w:r>
          <w:rPr>
            <w:rStyle w:val="Hyperlink"/>
          </w:rPr>
          <w:t xml:space="preserve">general campus AI policies here</w:t>
        </w:r>
      </w:hyperlink>
      <w:r>
        <w:t xml:space="preserve">.</w:t>
      </w:r>
    </w:p>
    <w:bookmarkEnd w:id="73"/>
    <w:bookmarkStart w:id="74"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74"/>
    <w:bookmarkStart w:id="78"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75">
        <w:r>
          <w:rPr>
            <w:rStyle w:val="Hyperlink"/>
          </w:rPr>
          <w:t xml:space="preserve">Faculty: Information for Faculty: Non-attendance or Stopped Attending</w:t>
        </w:r>
      </w:hyperlink>
      <w:r>
        <w:t xml:space="preserve"> </w:t>
      </w:r>
      <w:hyperlink r:id="rId76">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77">
        <w:r>
          <w:rPr>
            <w:rStyle w:val="Hyperlink"/>
          </w:rPr>
          <w:t xml:space="preserve">Student Outreach and Support: Absence Notifications</w:t>
        </w:r>
      </w:hyperlink>
      <w:r>
        <w:t xml:space="preserve">.</w:t>
      </w:r>
    </w:p>
    <w:bookmarkEnd w:id="78"/>
    <w:bookmarkStart w:id="82"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79">
        <w:r>
          <w:rPr>
            <w:rStyle w:val="Hyperlink"/>
          </w:rPr>
          <w:t xml:space="preserve">Answers Blackboard</w:t>
        </w:r>
      </w:hyperlink>
      <w:r>
        <w:t xml:space="preserve">; alternatively, you can contact Information Technology Services by sending an email to</w:t>
      </w:r>
      <w:r>
        <w:t xml:space="preserve"> </w:t>
      </w:r>
      <w:hyperlink r:id="rId80">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81">
        <w:r>
          <w:rPr>
            <w:rStyle w:val="Hyperlink"/>
          </w:rPr>
          <w:t xml:space="preserve">ITS website</w:t>
        </w:r>
      </w:hyperlink>
      <w:r>
        <w:t xml:space="preserve">.</w:t>
      </w:r>
    </w:p>
    <w:bookmarkEnd w:id="82"/>
    <w:bookmarkStart w:id="84"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83">
        <w:r>
          <w:rPr>
            <w:rStyle w:val="Hyperlink"/>
          </w:rPr>
          <w:t xml:space="preserve">equalopp@syr.edu</w:t>
        </w:r>
      </w:hyperlink>
      <w:r>
        <w:t xml:space="preserve">; or by telephone: 315-443-4018.</w:t>
      </w:r>
    </w:p>
    <w:bookmarkEnd w:id="84"/>
    <w:bookmarkStart w:id="85"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85"/>
    <w:bookmarkStart w:id="87"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86">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87"/>
    <w:bookmarkStart w:id="89" w:name="faith-and-religious-accommodations"/>
    <w:p>
      <w:pPr>
        <w:pStyle w:val="Heading2"/>
      </w:pPr>
      <w:r>
        <w:t xml:space="preserve">🌐 Faith and Religious Accommodations</w:t>
      </w:r>
    </w:p>
    <w:p>
      <w:pPr>
        <w:pStyle w:val="FirstParagraph"/>
      </w:pPr>
      <w:hyperlink r:id="rId88">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89"/>
    <w:bookmarkStart w:id="91"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90">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91"/>
    <w:bookmarkEnd w:id="9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In addition to formal office hours, I have an open door policy - feel free to stop by if you see the door open. In particular, I’ll be around for the half an hour after class each Tuesday and Thursday until 4, and my office is right next door to the classroom. Feel free to stay after and meet with me. I’ll also be around after office hours until at least 12:30 each Tuesday and Thursday according to student need.</w:t>
      </w:r>
    </w:p>
  </w:footnote>
  <w:footnote w:id="53">
    <w:p>
      <w:pPr>
        <w:pStyle w:val="FootnoteText"/>
      </w:pPr>
      <w:r>
        <w:rPr>
          <w:rStyle w:val="FootnoteReference"/>
        </w:rPr>
        <w:footnoteRef/>
      </w:r>
      <w:r>
        <w:t xml:space="preserve"> </w:t>
      </w:r>
      <w:r>
        <w:t xml:space="preserve">While regular weekly assignments are evaluated on an effort based, check/no-check system, on the practicum, you’ll receive a certain number of points out of the total, like a test.</w:t>
      </w:r>
    </w:p>
  </w:footnote>
  <w:footnote w:id="61">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hyperlink" Id="rId41" Target="http://blackboard.syr.edu" TargetMode="External" /><Relationship Type="http://schemas.openxmlformats.org/officeDocument/2006/relationships/hyperlink" Id="rId81" Target="http://its.syr.edu/its_service_center" TargetMode="External" /><Relationship Type="http://schemas.openxmlformats.org/officeDocument/2006/relationships/hyperlink" Id="rId59" Target="http://jacklreilly.github.io" TargetMode="External" /><Relationship Type="http://schemas.openxmlformats.org/officeDocument/2006/relationships/hyperlink" Id="rId75" Target="http://registrar.syr.edu/faculty-staff/non-attendance/" TargetMode="External" /><Relationship Type="http://schemas.openxmlformats.org/officeDocument/2006/relationships/hyperlink" Id="rId76" Target="http://registrar.syr.edu/students/non-attendance/" TargetMode="External" /><Relationship Type="http://schemas.openxmlformats.org/officeDocument/2006/relationships/hyperlink" Id="rId31" Target="https://doi.org/10.1017/9781108990424" TargetMode="External" /><Relationship Type="http://schemas.openxmlformats.org/officeDocument/2006/relationships/hyperlink" Id="rId33" Target="https://doi.org/10.1017/9781108993456" TargetMode="External" /><Relationship Type="http://schemas.openxmlformats.org/officeDocument/2006/relationships/hyperlink" Id="rId90" Target="https://ese.syr.edu/bewell/" TargetMode="External" /><Relationship Type="http://schemas.openxmlformats.org/officeDocument/2006/relationships/hyperlink" Id="rId77" Target="https://experience.syracuse.edu/student-outreach/student-support/absence-notifications/" TargetMode="External" /><Relationship Type="http://schemas.openxmlformats.org/officeDocument/2006/relationships/hyperlink" Id="rId72" Target="https://its.syr.edu/artificialintelligence/aiguidelines/" TargetMode="External" /><Relationship Type="http://schemas.openxmlformats.org/officeDocument/2006/relationships/hyperlink" Id="rId22" Target="https://jacklreilly.github.io/appointments.html" TargetMode="External" /><Relationship Type="http://schemas.openxmlformats.org/officeDocument/2006/relationships/hyperlink" Id="rId42" Target="https://jacklreilly.github.io/dwv_f25/" TargetMode="External" /><Relationship Type="http://schemas.openxmlformats.org/officeDocument/2006/relationships/hyperlink" Id="rId67" Target="https://policies.syr.edu" TargetMode="External" /><Relationship Type="http://schemas.openxmlformats.org/officeDocument/2006/relationships/hyperlink" Id="rId70" Target="https://policies.syr.edu/" TargetMode="External" /><Relationship Type="http://schemas.openxmlformats.org/officeDocument/2006/relationships/hyperlink" Id="rId69" Target="https://policies.syr.edu/policies/academic-rules-student-responsibilities-and-services/academic-integrity-policy/" TargetMode="External" /><Relationship Type="http://schemas.openxmlformats.org/officeDocument/2006/relationships/hyperlink" Id="rId88" Target="https://policies.syr.edu/policies/university-governance-ethics-integrity-and-legal-compliance/religious-observances-policy/" TargetMode="External" /><Relationship Type="http://schemas.openxmlformats.org/officeDocument/2006/relationships/hyperlink" Id="rId35" Target="https://r4ds.hadley.nz" TargetMode="External" /><Relationship Type="http://schemas.openxmlformats.org/officeDocument/2006/relationships/hyperlink" Id="rId32" Target="https://socviz.co" TargetMode="External" /><Relationship Type="http://schemas.openxmlformats.org/officeDocument/2006/relationships/hyperlink" Id="rId79" Target="https://su-jsm.atlassian.net/wiki/x/zcUzCQ" TargetMode="External" /><Relationship Type="http://schemas.openxmlformats.org/officeDocument/2006/relationships/hyperlink" Id="rId43" Target="https://sumailsyr-my.sharepoint.com/:f:/g/personal/jlreilly_syr_edu/EoZ9P8tT-JBLjEHb1XzVqnMBVwBozLfeD0XJm2yoDzTPJw" TargetMode="External" /><Relationship Type="http://schemas.openxmlformats.org/officeDocument/2006/relationships/hyperlink" Id="rId34" Target="https://www.amazon.com/First-Course-Statistical-Programming/dp/1108995144" TargetMode="External" /><Relationship Type="http://schemas.openxmlformats.org/officeDocument/2006/relationships/hyperlink" Id="rId86" Target="mailto:disabilityresources@syr.edu" TargetMode="External" /><Relationship Type="http://schemas.openxmlformats.org/officeDocument/2006/relationships/hyperlink" Id="rId83" Target="mailto:equalopp@syr.edu" TargetMode="External" /><Relationship Type="http://schemas.openxmlformats.org/officeDocument/2006/relationships/hyperlink" Id="rId80" Target="mailto:help@syr.edu" TargetMode="External" /><Relationship Type="http://schemas.openxmlformats.org/officeDocument/2006/relationships/hyperlink" Id="rId23" Target="mailto:jlreilly@syr.edu" TargetMode="External" /></Relationships>
</file>

<file path=word/_rels/footnotes.xml.rels><?xml version="1.0" encoding="UTF-8"?><Relationships xmlns="http://schemas.openxmlformats.org/package/2006/relationships"><Relationship Type="http://schemas.openxmlformats.org/officeDocument/2006/relationships/hyperlink" Id="rId41" Target="http://blackboard.syr.edu" TargetMode="External" /><Relationship Type="http://schemas.openxmlformats.org/officeDocument/2006/relationships/hyperlink" Id="rId81" Target="http://its.syr.edu/its_service_center" TargetMode="External" /><Relationship Type="http://schemas.openxmlformats.org/officeDocument/2006/relationships/hyperlink" Id="rId59" Target="http://jacklreilly.github.io" TargetMode="External" /><Relationship Type="http://schemas.openxmlformats.org/officeDocument/2006/relationships/hyperlink" Id="rId75" Target="http://registrar.syr.edu/faculty-staff/non-attendance/" TargetMode="External" /><Relationship Type="http://schemas.openxmlformats.org/officeDocument/2006/relationships/hyperlink" Id="rId76" Target="http://registrar.syr.edu/students/non-attendance/" TargetMode="External" /><Relationship Type="http://schemas.openxmlformats.org/officeDocument/2006/relationships/hyperlink" Id="rId31" Target="https://doi.org/10.1017/9781108990424" TargetMode="External" /><Relationship Type="http://schemas.openxmlformats.org/officeDocument/2006/relationships/hyperlink" Id="rId33" Target="https://doi.org/10.1017/9781108993456" TargetMode="External" /><Relationship Type="http://schemas.openxmlformats.org/officeDocument/2006/relationships/hyperlink" Id="rId90" Target="https://ese.syr.edu/bewell/" TargetMode="External" /><Relationship Type="http://schemas.openxmlformats.org/officeDocument/2006/relationships/hyperlink" Id="rId77" Target="https://experience.syracuse.edu/student-outreach/student-support/absence-notifications/" TargetMode="External" /><Relationship Type="http://schemas.openxmlformats.org/officeDocument/2006/relationships/hyperlink" Id="rId72" Target="https://its.syr.edu/artificialintelligence/aiguidelines/" TargetMode="External" /><Relationship Type="http://schemas.openxmlformats.org/officeDocument/2006/relationships/hyperlink" Id="rId22" Target="https://jacklreilly.github.io/appointments.html" TargetMode="External" /><Relationship Type="http://schemas.openxmlformats.org/officeDocument/2006/relationships/hyperlink" Id="rId42" Target="https://jacklreilly.github.io/dwv_f25/" TargetMode="External" /><Relationship Type="http://schemas.openxmlformats.org/officeDocument/2006/relationships/hyperlink" Id="rId67" Target="https://policies.syr.edu" TargetMode="External" /><Relationship Type="http://schemas.openxmlformats.org/officeDocument/2006/relationships/hyperlink" Id="rId70" Target="https://policies.syr.edu/" TargetMode="External" /><Relationship Type="http://schemas.openxmlformats.org/officeDocument/2006/relationships/hyperlink" Id="rId69" Target="https://policies.syr.edu/policies/academic-rules-student-responsibilities-and-services/academic-integrity-policy/" TargetMode="External" /><Relationship Type="http://schemas.openxmlformats.org/officeDocument/2006/relationships/hyperlink" Id="rId88" Target="https://policies.syr.edu/policies/university-governance-ethics-integrity-and-legal-compliance/religious-observances-policy/" TargetMode="External" /><Relationship Type="http://schemas.openxmlformats.org/officeDocument/2006/relationships/hyperlink" Id="rId35" Target="https://r4ds.hadley.nz" TargetMode="External" /><Relationship Type="http://schemas.openxmlformats.org/officeDocument/2006/relationships/hyperlink" Id="rId32" Target="https://socviz.co" TargetMode="External" /><Relationship Type="http://schemas.openxmlformats.org/officeDocument/2006/relationships/hyperlink" Id="rId79" Target="https://su-jsm.atlassian.net/wiki/x/zcUzCQ" TargetMode="External" /><Relationship Type="http://schemas.openxmlformats.org/officeDocument/2006/relationships/hyperlink" Id="rId43" Target="https://sumailsyr-my.sharepoint.com/:f:/g/personal/jlreilly_syr_edu/EoZ9P8tT-JBLjEHb1XzVqnMBVwBozLfeD0XJm2yoDzTPJw" TargetMode="External" /><Relationship Type="http://schemas.openxmlformats.org/officeDocument/2006/relationships/hyperlink" Id="rId34" Target="https://www.amazon.com/First-Course-Statistical-Programming/dp/1108995144" TargetMode="External" /><Relationship Type="http://schemas.openxmlformats.org/officeDocument/2006/relationships/hyperlink" Id="rId86" Target="mailto:disabilityresources@syr.edu" TargetMode="External" /><Relationship Type="http://schemas.openxmlformats.org/officeDocument/2006/relationships/hyperlink" Id="rId83" Target="mailto:equalopp@syr.edu" TargetMode="External" /><Relationship Type="http://schemas.openxmlformats.org/officeDocument/2006/relationships/hyperlink" Id="rId80" Target="mailto:help@syr.edu" TargetMode="External" /><Relationship Type="http://schemas.openxmlformats.org/officeDocument/2006/relationships/hyperlink" Id="rId23" Target="mailto: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PAI 400/600: Data Wrangling and Visualization</dc:title>
  <dc:creator>Prof. Jack Reilly</dc:creator>
  <cp:keywords/>
  <dcterms:created xsi:type="dcterms:W3CDTF">2025-09-13T00:06:55Z</dcterms:created>
  <dcterms:modified xsi:type="dcterms:W3CDTF">2025-09-13T00:06:55Z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F2025</vt:lpwstr>
  </property>
  <property fmtid="{D5CDD505-2E9C-101B-9397-08002B2CF9AE}" pid="4" name="format">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Course Syllabus</vt:lpwstr>
  </property>
  <property fmtid="{D5CDD505-2E9C-101B-9397-08002B2CF9AE}" pid="10" name="toc-title">
    <vt:lpwstr>Table of contents</vt:lpwstr>
  </property>
</Properties>
</file>