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 Introduction to Statistics</w:t>
      </w:r>
    </w:p>
    <w:bookmarkStart w:id="26"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0">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End w:id="26"/>
    <w:bookmarkStart w:id="27" w:name="description"/>
    <w:p>
      <w:pPr>
        <w:pStyle w:val="Heading1"/>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7"/>
    <w:bookmarkStart w:id="28" w:name="objectives"/>
    <w:p>
      <w:pPr>
        <w:pStyle w:val="Heading1"/>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8"/>
    <w:bookmarkStart w:id="29" w:name="prerequisites"/>
    <w:p>
      <w:pPr>
        <w:pStyle w:val="Heading1"/>
      </w:pPr>
      <w:r>
        <w:t xml:space="preserve">Prerequisites</w:t>
      </w:r>
    </w:p>
    <w:p>
      <w:pPr>
        <w:pStyle w:val="FirstParagraph"/>
      </w:pPr>
      <w:r>
        <w:t xml:space="preserve">A thorough understanding of high school algebra and geometry.</w:t>
      </w:r>
    </w:p>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 Introduction to Statistics</dc:title>
  <dc:creator/>
  <cp:keywords/>
  <dcterms:created xsi:type="dcterms:W3CDTF">2025-08-25T01:17:50Z</dcterms:created>
  <dcterms:modified xsi:type="dcterms:W3CDTF">2025-08-25T01:17:50Z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