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 Introduction to Statistics</w:t>
      </w:r>
    </w:p>
    <w:bookmarkStart w:id="26"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0">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End w:id="26"/>
    <w:bookmarkStart w:id="27" w:name="description"/>
    <w:p>
      <w:pPr>
        <w:pStyle w:val="Heading1"/>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7"/>
    <w:bookmarkStart w:id="28" w:name="objectives"/>
    <w:p>
      <w:pPr>
        <w:pStyle w:val="Heading1"/>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8"/>
    <w:bookmarkStart w:id="29" w:name="prerequisites"/>
    <w:p>
      <w:pPr>
        <w:pStyle w:val="Heading1"/>
      </w:pPr>
      <w:r>
        <w:t xml:space="preserve">Prerequisites</w:t>
      </w:r>
    </w:p>
    <w:p>
      <w:pPr>
        <w:pStyle w:val="FirstParagraph"/>
      </w:pPr>
      <w:r>
        <w:t xml:space="preserve">A thorough understanding of high school algebra and geometry.</w:t>
      </w:r>
    </w:p>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Introduction to Statistics</dc:title>
  <dc:creator/>
  <cp:keywords/>
  <dcterms:created xsi:type="dcterms:W3CDTF">2025-08-25T02:12:21Z</dcterms:created>
  <dcterms:modified xsi:type="dcterms:W3CDTF">2025-08-25T02:12:21Z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