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a second meeting with your client to develop your research questions and</w:t>
      </w:r>
      <w:r>
        <w:t xml:space="preserve"> </w:t>
      </w:r>
      <w:r>
        <w:t xml:space="preserve">to gather the information you need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Second Client Meeting Guide</w:t>
        </w:r>
      </w:hyperlink>
      <w:r>
        <w:t xml:space="preserve"> </w:t>
      </w:r>
      <w:r>
        <w:t xml:space="preserve">– How to run your second meeting and set your research questions.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</dc:title>
  <dc:creator>Prof. Jack Reilly</dc:creator>
  <cp:keywords/>
  <dcterms:created xsi:type="dcterms:W3CDTF">2026-08-21T01:39:43Z</dcterms:created>
  <dcterms:modified xsi:type="dcterms:W3CDTF">2026-08-21T01:39:43Z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