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Stage 1 Cowork Consolidation Summary</w:t>
      </w:r>
    </w:p>
    <w:p>
      <w:pPr>
        <w:spacing w:after="240"/>
      </w:pPr>
      <w:r>
        <w:rPr>
          <w:i/>
          <w:iCs/>
          <w:color w:val="555555"/>
        </w:rPr>
        <w:t xml:space="preserve">Assignment 4A — Construction Bid Dashboard  |  Prepared July 29, 2026</w:t>
      </w:r>
    </w:p>
    <w:p>
      <w:pPr>
        <w:pStyle w:val="Heading1"/>
        <w:spacing w:after="120" w:before="240"/>
      </w:pPr>
      <w:r>
        <w:t xml:space="preserve">Purpose</w:t>
      </w:r>
    </w:p>
    <w:p>
      <w:pPr>
        <w:spacing w:after="160"/>
      </w:pPr>
      <w:r>
        <w:t xml:space="preserve">This document summarizes the consolidation of ten construction bid opportunities from project_opportunities.xlsx, financial_estimates.xlsx, client_relationship_notes.docx, and company_capacity_and_preferences.docx. Full detail for every project, including every field required for the dashboard, is in consolidated_bid_opportunities.xlsx. This summary highlights the highest-priority opportunities, the major concerns found during consolidation, and the items that need human review before this output is treated as final.</w:t>
      </w:r>
    </w:p>
    <w:p>
      <w:pPr>
        <w:pStyle w:val="Heading1"/>
        <w:spacing w:after="120" w:before="240"/>
      </w:pPr>
      <w:r>
        <w:t xml:space="preserve">Highest-Priority Opportunities</w:t>
      </w:r>
    </w:p>
    <w:p>
      <w:pPr>
        <w:spacing w:after="160"/>
      </w:pPr>
      <w:r>
        <w:t xml:space="preserve">Five of the ten opportunities are rated High Priority based on the company's stated preferences for profit margin, client relationship, reliability, payment risk, competition, location, and project type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4460"/>
      </w:tblGrid>
      <w:tr>
        <w:trPr>
          <w:tblHeader/>
        </w:trPr>
        <w:tc>
          <w:tcPr>
            <w:tcW w:type="dxa" w:w="900"/>
            <w:shd w:fill="1F4E78" w:val="clear"/>
          </w:tcPr>
          <w:p>
            <w:r>
              <w:rPr>
                <w:b/>
                <w:bCs/>
                <w:color w:val="FFFFFF"/>
              </w:rPr>
              <w:t xml:space="preserve">Project</w:t>
            </w:r>
          </w:p>
        </w:tc>
        <w:tc>
          <w:tcPr>
            <w:tcW w:type="dxa" w:w="2200"/>
            <w:shd w:fill="1F4E78" w:val="clear"/>
          </w:tcPr>
          <w:p>
            <w:r>
              <w:rPr>
                <w:b/>
                <w:bCs/>
                <w:color w:val="FFFFFF"/>
              </w:rPr>
              <w:t xml:space="preserve">Name</w:t>
            </w:r>
          </w:p>
        </w:tc>
        <w:tc>
          <w:tcPr>
            <w:tcW w:type="dxa" w:w="1800"/>
            <w:shd w:fill="1F4E78" w:val="clear"/>
          </w:tcPr>
          <w:p>
            <w:r>
              <w:rPr>
                <w:b/>
                <w:bCs/>
                <w:color w:val="FFFFFF"/>
              </w:rPr>
              <w:t xml:space="preserve">Client</w:t>
            </w:r>
          </w:p>
        </w:tc>
        <w:tc>
          <w:tcPr>
            <w:tcW w:type="dxa" w:w="4460"/>
            <w:shd w:fill="1F4E78" w:val="clear"/>
          </w:tcPr>
          <w:p>
            <w:r>
              <w:rPr>
                <w:b/>
                <w:bCs/>
                <w:color w:val="FFFFFF"/>
              </w:rPr>
              <w:t xml:space="preserve">Why it ranks high</w:t>
            </w:r>
          </w:p>
        </w:tc>
      </w:tr>
      <w:tr>
        <w:tc>
          <w:tcPr>
            <w:tcW w:type="dxa" w:w="900"/>
          </w:tcPr>
          <w:p>
            <w:r>
              <w:rPr>
                <w:sz w:val="19"/>
                <w:szCs w:val="19"/>
              </w:rPr>
              <w:t xml:space="preserve">P-106</w:t>
            </w:r>
          </w:p>
        </w:tc>
        <w:tc>
          <w:tcPr>
            <w:tcW w:type="dxa" w:w="2200"/>
          </w:tcPr>
          <w:p>
            <w:r>
              <w:rPr>
                <w:sz w:val="19"/>
                <w:szCs w:val="19"/>
              </w:rPr>
              <w:t xml:space="preserve">Eagan Corporate Office Remodel</w:t>
            </w:r>
          </w:p>
        </w:tc>
        <w:tc>
          <w:tcPr>
            <w:tcW w:type="dxa" w:w="1800"/>
          </w:tcPr>
          <w:p>
            <w:r>
              <w:rPr>
                <w:sz w:val="19"/>
                <w:szCs w:val="19"/>
              </w:rPr>
              <w:t xml:space="preserve">Northstar Financial</w:t>
            </w:r>
          </w:p>
        </w:tc>
        <w:tc>
          <w:tcPr>
            <w:tcW w:type="dxa" w:w="4460"/>
          </w:tcPr>
          <w:p>
            <w:r>
              <w:rPr>
                <w:sz w:val="19"/>
                <w:szCs w:val="19"/>
              </w:rPr>
              <w:t xml:space="preserve">Best margin (13.16%) and lowest bid prep cost of any opportunity; low competition; low risk; preferred type/location. Relationship is only Moderate (referral-based).</w:t>
            </w:r>
          </w:p>
        </w:tc>
      </w:tr>
      <w:tr>
        <w:tc>
          <w:tcPr>
            <w:tcW w:type="dxa" w:w="900"/>
          </w:tcPr>
          <w:p>
            <w:r>
              <w:rPr>
                <w:sz w:val="19"/>
                <w:szCs w:val="19"/>
              </w:rPr>
              <w:t xml:space="preserve">P-103</w:t>
            </w:r>
          </w:p>
        </w:tc>
        <w:tc>
          <w:tcPr>
            <w:tcW w:type="dxa" w:w="2200"/>
          </w:tcPr>
          <w:p>
            <w:r>
              <w:rPr>
                <w:sz w:val="19"/>
                <w:szCs w:val="19"/>
              </w:rPr>
              <w:t xml:space="preserve">Farmington Municipal Office Renovation</w:t>
            </w:r>
          </w:p>
        </w:tc>
        <w:tc>
          <w:tcPr>
            <w:tcW w:type="dxa" w:w="1800"/>
          </w:tcPr>
          <w:p>
            <w:r>
              <w:rPr>
                <w:sz w:val="19"/>
                <w:szCs w:val="19"/>
              </w:rPr>
              <w:t xml:space="preserve">City of Farmington</w:t>
            </w:r>
          </w:p>
        </w:tc>
        <w:tc>
          <w:tcPr>
            <w:tcW w:type="dxa" w:w="4460"/>
          </w:tcPr>
          <w:p>
            <w:r>
              <w:rPr>
                <w:sz w:val="19"/>
                <w:szCs w:val="19"/>
              </w:rPr>
              <w:t xml:space="preserve">Strong relationship, high reliability, 11.27% margin, low bid prep cost, preferred distance. No flags identified.</w:t>
            </w:r>
          </w:p>
        </w:tc>
      </w:tr>
      <w:tr>
        <w:tc>
          <w:tcPr>
            <w:tcW w:type="dxa" w:w="900"/>
          </w:tcPr>
          <w:p>
            <w:r>
              <w:rPr>
                <w:sz w:val="19"/>
                <w:szCs w:val="19"/>
              </w:rPr>
              <w:t xml:space="preserve">P-109</w:t>
            </w:r>
          </w:p>
        </w:tc>
        <w:tc>
          <w:tcPr>
            <w:tcW w:type="dxa" w:w="2200"/>
          </w:tcPr>
          <w:p>
            <w:r>
              <w:rPr>
                <w:sz w:val="19"/>
                <w:szCs w:val="19"/>
              </w:rPr>
              <w:t xml:space="preserve">Lakeville Public Safety Building</w:t>
            </w:r>
          </w:p>
        </w:tc>
        <w:tc>
          <w:tcPr>
            <w:tcW w:type="dxa" w:w="1800"/>
          </w:tcPr>
          <w:p>
            <w:r>
              <w:rPr>
                <w:sz w:val="19"/>
                <w:szCs w:val="19"/>
              </w:rPr>
              <w:t xml:space="preserve">City of Lakeville</w:t>
            </w:r>
          </w:p>
        </w:tc>
        <w:tc>
          <w:tcPr>
            <w:tcW w:type="dxa" w:w="4460"/>
          </w:tcPr>
          <w:p>
            <w:r>
              <w:rPr>
                <w:sz w:val="19"/>
                <w:szCs w:val="19"/>
              </w:rPr>
              <w:t xml:space="preserve">Strong relationship, high reliability, 9.61% margin, preferred type/location. Long 13-month duration during the constrained staffing window.</w:t>
            </w:r>
          </w:p>
        </w:tc>
      </w:tr>
      <w:tr>
        <w:tc>
          <w:tcPr>
            <w:tcW w:type="dxa" w:w="900"/>
          </w:tcPr>
          <w:p>
            <w:r>
              <w:rPr>
                <w:sz w:val="19"/>
                <w:szCs w:val="19"/>
              </w:rPr>
              <w:t xml:space="preserve">P-105</w:t>
            </w:r>
          </w:p>
        </w:tc>
        <w:tc>
          <w:tcPr>
            <w:tcW w:type="dxa" w:w="2200"/>
          </w:tcPr>
          <w:p>
            <w:r>
              <w:rPr>
                <w:sz w:val="19"/>
                <w:szCs w:val="19"/>
              </w:rPr>
              <w:t xml:space="preserve">Prescott Elementary School Addition</w:t>
            </w:r>
          </w:p>
        </w:tc>
        <w:tc>
          <w:tcPr>
            <w:tcW w:type="dxa" w:w="1800"/>
          </w:tcPr>
          <w:p>
            <w:r>
              <w:rPr>
                <w:sz w:val="19"/>
                <w:szCs w:val="19"/>
              </w:rPr>
              <w:t xml:space="preserve">Prescott School District</w:t>
            </w:r>
          </w:p>
        </w:tc>
        <w:tc>
          <w:tcPr>
            <w:tcW w:type="dxa" w:w="4460"/>
          </w:tcPr>
          <w:p>
            <w:r>
              <w:rPr>
                <w:sz w:val="19"/>
                <w:szCs w:val="19"/>
              </w:rPr>
              <w:t xml:space="preserve">Proven track record with this client, high reliability, 8.49% margin. Academic-calendar deadline plus constrained staffing window during the same period.</w:t>
            </w:r>
          </w:p>
        </w:tc>
      </w:tr>
      <w:tr>
        <w:tc>
          <w:tcPr>
            <w:tcW w:type="dxa" w:w="900"/>
          </w:tcPr>
          <w:p>
            <w:r>
              <w:rPr>
                <w:sz w:val="19"/>
                <w:szCs w:val="19"/>
              </w:rPr>
              <w:t xml:space="preserve">P-101</w:t>
            </w:r>
          </w:p>
        </w:tc>
        <w:tc>
          <w:tcPr>
            <w:tcW w:type="dxa" w:w="2200"/>
          </w:tcPr>
          <w:p>
            <w:r>
              <w:rPr>
                <w:sz w:val="19"/>
                <w:szCs w:val="19"/>
              </w:rPr>
              <w:t xml:space="preserve">River Falls Medical Clinic Addition</w:t>
            </w:r>
          </w:p>
        </w:tc>
        <w:tc>
          <w:tcPr>
            <w:tcW w:type="dxa" w:w="1800"/>
          </w:tcPr>
          <w:p>
            <w:r>
              <w:rPr>
                <w:sz w:val="19"/>
                <w:szCs w:val="19"/>
              </w:rPr>
              <w:t xml:space="preserve">Valley Health Partners</w:t>
            </w:r>
          </w:p>
        </w:tc>
        <w:tc>
          <w:tcPr>
            <w:tcW w:type="dxa" w:w="4460"/>
          </w:tcPr>
          <w:p>
            <w:r>
              <w:rPr>
                <w:sz w:val="19"/>
                <w:szCs w:val="19"/>
              </w:rPr>
              <w:t xml:space="preserve">Strong relationship, high reliability, low risk, 8.04% margin (just above threshold). Start date falls in the constrained staffing window.</w:t>
            </w:r>
          </w:p>
        </w:tc>
      </w:tr>
    </w:tbl>
    <w:p>
      <w:pPr>
        <w:spacing w:after="160"/>
      </w:pPr>
    </w:p>
    <w:p>
      <w:pPr>
        <w:spacing w:after="160"/>
      </w:pPr>
      <w:r>
        <w:t xml:space="preserve">Medium Priority: P-104 (Hudson Retail Development), P-107 (Shakopee Manufacturing Expansion), P-110 (Cottage Grove Fitness Center) — each has real strengths but also a meaningful weak point (below-target margin, high competition, or an untested client relationship).</w:t>
      </w:r>
    </w:p>
    <w:p>
      <w:pPr>
        <w:spacing w:after="160"/>
      </w:pPr>
      <w:r>
        <w:t xml:space="preserve">Low Priority: P-102 (North Metro Distribution Center) and P-108 (Woodbury Senior Living Facility) — both carry multiple flags the company's own guidelines call out for additional scrutiny (high competition, thin or below-threshold margin, and for P-108, high payment risk, unknown reliability, limited company experience, and a contract value above the company's typical range).</w:t>
      </w:r>
    </w:p>
    <w:p>
      <w:pPr>
        <w:pStyle w:val="Heading1"/>
        <w:spacing w:after="120" w:before="240"/>
      </w:pPr>
      <w:r>
        <w:t xml:space="preserve">Major Concerns Requiring Human Review</w:t>
      </w:r>
    </w:p>
    <w:p>
      <w:pPr>
        <w:spacing w:after="160"/>
      </w:pPr>
      <w:r>
        <w:rPr>
          <w:b/>
          <w:bCs/>
        </w:rPr>
        <w:t xml:space="preserve">1. Staffing capacity conflict across the portfolio.</w:t>
      </w:r>
    </w:p>
    <w:p>
      <w:pPr>
        <w:spacing w:after="160"/>
      </w:pPr>
      <w:r>
        <w:t xml:space="preserve">Superintendent availability is limited from September through November 2026. Seven of the ten opportunities — including four of the five High Priority projects (P-101, P-103, P-105, P-109) plus P-102, P-106, and P-110 — have estimated start dates inside that window. The company cannot realistically staff all seven at once. A manager will need to decide which projects to pursue given this constraint.</w:t>
      </w:r>
    </w:p>
    <w:p>
      <w:pPr>
        <w:spacing w:after="160"/>
      </w:pPr>
      <w:r>
        <w:rPr>
          <w:b/>
          <w:bCs/>
        </w:rPr>
        <w:t xml:space="preserve">2. Estimating team bid-prep bottleneck.</w:t>
      </w:r>
    </w:p>
    <w:p>
      <w:pPr>
        <w:spacing w:after="160"/>
      </w:pPr>
      <w:r>
        <w:t xml:space="preserve">The company can prepare no more than three major bids in any two-week period. Bid due dates from August 12 through September 4, 2026 include eight of the ten opportunities, with several overlapping two-week windows containing four to five due dates. As scheduled, this exceeds the estimating team's stated capacity and raises the risk of rushed or error-prone pricing.</w:t>
      </w:r>
    </w:p>
    <w:p>
      <w:pPr>
        <w:spacing w:after="160"/>
      </w:pPr>
      <w:r>
        <w:rPr>
          <w:b/>
          <w:bCs/>
        </w:rPr>
        <w:t xml:space="preserve">3. Project-size capacity limits.</w:t>
      </w:r>
    </w:p>
    <w:p>
      <w:pPr>
        <w:spacing w:after="160"/>
      </w:pPr>
      <w:r>
        <w:t xml:space="preserve">The company can comfortably carry one project above $8M, two between $4M and $8M, and up to two under $4M. Three opportunities exceed $8M (P-102, P-107, P-108) — three candidates for one slot, and none of them are rated High Priority. Four opportunities fall between $4M and $8M (P-101, P-104, P-105, P-109), and three of those (P-101, P-105, P-109) are already rated High Priority, one more High-Priority candidate than the two-project capacity in that band.</w:t>
      </w:r>
    </w:p>
    <w:p>
      <w:pPr>
        <w:spacing w:after="160"/>
      </w:pPr>
      <w:r>
        <w:rPr>
          <w:b/>
          <w:bCs/>
        </w:rPr>
        <w:t xml:space="preserve">4. Contract value above the company's typical range.</w:t>
      </w:r>
    </w:p>
    <w:p>
      <w:pPr>
        <w:spacing w:after="160"/>
      </w:pPr>
      <w:r>
        <w:t xml:space="preserve">P-108 ($12.4M) exceeds both the company's typical $1.5M–$10M project range and the guideline that contract values above $10M require a strong client relationship — here the relationship is rated New, not strong.</w:t>
      </w:r>
    </w:p>
    <w:p>
      <w:pPr>
        <w:pStyle w:val="Heading1"/>
        <w:spacing w:after="120" w:before="240"/>
      </w:pPr>
      <w:r>
        <w:t xml:space="preserve">Items Flagged as Missing, Unclear, or Conflicting</w:t>
      </w:r>
    </w:p>
    <w:p>
      <w:pPr>
        <w:pStyle w:val="ListParagraph"/>
        <w:numPr>
          <w:ilvl w:val="0"/>
          <w:numId w:val="1"/>
        </w:numPr>
        <w:spacing w:after="80"/>
      </w:pPr>
      <w:r>
        <w:t xml:space="preserve">P-102 (North Metro Distribution Center): relationship and reliability notes come from a subcontractor's secondhand report, not direct company experience. Project type fit against the company's 'light industrial' preference is unclear — a distribution/logistics center may not match that category.</w:t>
      </w:r>
    </w:p>
    <w:p>
      <w:pPr>
        <w:pStyle w:val="ListParagraph"/>
        <w:numPr>
          <w:ilvl w:val="0"/>
          <w:numId w:val="1"/>
        </w:numPr>
        <w:spacing w:after="80"/>
      </w:pPr>
      <w:r>
        <w:t xml:space="preserve">P-107 (Shakopee Manufacturing Expansion): the opportunity spreadsheet lists the project type generically as 'Industrial,' while the client relationship notes describe it specifically as a manufacturing expansion, a separate moderate-experience category in the company preferences document.</w:t>
      </w:r>
    </w:p>
    <w:p>
      <w:pPr>
        <w:pStyle w:val="ListParagraph"/>
        <w:numPr>
          <w:ilvl w:val="0"/>
          <w:numId w:val="1"/>
        </w:numPr>
        <w:spacing w:after="80"/>
      </w:pPr>
      <w:r>
        <w:t xml:space="preserve">P-101 (River Falls Medical Clinic Addition): listed as a healthcare 'addition,' while the company preferences document specifically names 'healthcare renovation' as a strength — a reasonably close but not exact match.</w:t>
      </w:r>
    </w:p>
    <w:p>
      <w:pPr>
        <w:pStyle w:val="ListParagraph"/>
        <w:numPr>
          <w:ilvl w:val="0"/>
          <w:numId w:val="1"/>
        </w:numPr>
        <w:spacing w:after="80"/>
      </w:pPr>
      <w:r>
        <w:t xml:space="preserve">P-104 and P-110: both relationships are described as not yet resulting in a completed project with the client; reliability ratings for these two are based on limited engagement rather than a track record.</w:t>
      </w:r>
    </w:p>
    <w:p>
      <w:pPr>
        <w:pStyle w:val="ListParagraph"/>
        <w:numPr>
          <w:ilvl w:val="0"/>
          <w:numId w:val="1"/>
        </w:numPr>
        <w:spacing w:after="80"/>
      </w:pPr>
      <w:r>
        <w:t xml:space="preserve">No numeric conflicts were found between the financial and project spreadsheets. All direct cost, overhead, and profit figures sum correctly to each contract value, and all profit margins recalculate correctly from the source figures.</w:t>
      </w:r>
    </w:p>
    <w:p>
      <w:pPr>
        <w:pStyle w:val="Heading1"/>
        <w:spacing w:after="120" w:before="240"/>
      </w:pPr>
      <w:r>
        <w:t xml:space="preserve">Sign-Off</w:t>
      </w:r>
    </w:p>
    <w:p>
      <w:pPr>
        <w:spacing w:after="160"/>
      </w:pPr>
      <w:r>
        <w:rPr>
          <w:b/>
          <w:bCs/>
        </w:rPr>
        <w:t xml:space="preserve">This consolidation is ready for human review. It has not been treated as final, and none of the following actions have been taken: no client has been contacted, no bid has been submitted, and no staffing or financial commitment has been made. Per the project instructions, a company manager should compare each project's contract value, estimated profit, profit margin, bid preparation cost, client relationship, and payment risk against the four original source files, and review the priority recommendations above — correcting any ranking that does not align with the company's stated preferences and capacity — before this dataset is used to build the Stage 2 dashboard in Claude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2026-07-29T22:25:20.707Z</dcterms:created>
  <dcterms:modified xsi:type="dcterms:W3CDTF">2026-07-29T22:25:20.707Z</dcterms:modified>
</cp:coreProperties>
</file>

<file path=docProps/custom.xml><?xml version="1.0" encoding="utf-8"?>
<Properties xmlns="http://schemas.openxmlformats.org/officeDocument/2006/custom-properties" xmlns:vt="http://schemas.openxmlformats.org/officeDocument/2006/docPropsVTypes"/>
</file>