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FDDF" w14:textId="3D1E122B" w:rsidR="005D2D77" w:rsidRDefault="005D2D77" w:rsidP="005D2D77">
      <w:pPr>
        <w:pStyle w:val="Heading2"/>
      </w:pPr>
      <w:r>
        <w:t>Equation</w:t>
      </w:r>
      <w:r>
        <w:t xml:space="preserve"> </w:t>
      </w:r>
      <w:r>
        <w:t xml:space="preserve">1– Projected gastric cancer mortality from historical mortality data </w:t>
      </w:r>
    </w:p>
    <w:p w14:paraId="437B2C47" w14:textId="77777777" w:rsidR="005D2D77" w:rsidRPr="00AD0A6C" w:rsidRDefault="005D2D77" w:rsidP="005D2D77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a,d,e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(1-S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a,d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a,d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</w:rPr>
            <m:t>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a,d</m:t>
              </m:r>
            </m:sub>
          </m:sSub>
          <m:r>
            <w:rPr>
              <w:rFonts w:ascii="Cambria Math" w:eastAsiaTheme="majorEastAsia" w:hAnsi="Cambria Math" w:cstheme="majorBidi"/>
              <w:color w:val="FF0000"/>
              <w:sz w:val="24"/>
              <w:szCs w:val="24"/>
            </w:rPr>
            <m:t>[</m:t>
          </m:r>
          <m:d>
            <m:dPr>
              <m:endChr m:val="]"/>
              <m:ctrlPr>
                <w:rPr>
                  <w:rFonts w:ascii="Cambria Math" w:eastAsiaTheme="majorEastAsia" w:hAnsi="Cambria Math" w:cstheme="majorBidi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11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a,d</m:t>
                      </m:r>
                    </m:e>
                  </m:d>
                </m:sub>
              </m:sSub>
              <m:r>
                <w:rPr>
                  <w:rFonts w:ascii="Cambria Math" w:eastAsiaTheme="majorEastAsia" w:hAnsi="Cambria Math" w:cstheme="majorBidi"/>
                  <w:color w:val="FF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a,d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screen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color w:val="FF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21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a,d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Hp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color w:val="FF0000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22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a,d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screen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color w:val="FF0000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Hp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FF0000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a,d</m:t>
                  </m:r>
                </m:sub>
              </m:sSub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Hp+</m:t>
                  </m:r>
                </m:sub>
              </m:sSub>
            </m:e>
            <m:e>
              <m:r>
                <w:rPr>
                  <w:rFonts w:ascii="Cambria Math" w:eastAsiaTheme="majorEastAsia" w:hAnsi="Cambria Math" w:cstheme="majorBidi"/>
                  <w:color w:val="FF0000"/>
                  <w:sz w:val="24"/>
                  <w:szCs w:val="24"/>
                </w:rPr>
                <m:t>IM-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FF0000"/>
                      <w:sz w:val="24"/>
                      <w:szCs w:val="24"/>
                    </w:rPr>
                    <m:t>Hp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color w:val="FF0000"/>
              <w:sz w:val="24"/>
              <w:szCs w:val="24"/>
            </w:rPr>
            <m:t>}</m:t>
          </m:r>
        </m:oMath>
      </m:oMathPara>
    </w:p>
    <w:p w14:paraId="675E7895" w14:textId="77777777" w:rsidR="005D2D77" w:rsidRPr="00467D14" w:rsidRDefault="005D2D77" w:rsidP="005D2D77">
      <w:pPr>
        <w:rPr>
          <w:rFonts w:ascii="Baskerville Old Face" w:eastAsiaTheme="majorEastAsia" w:hAnsi="Baskerville Old Face" w:cstheme="majorBidi"/>
        </w:rPr>
      </w:pP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4"/>
        <w:gridCol w:w="3157"/>
        <w:gridCol w:w="2149"/>
      </w:tblGrid>
      <w:tr w:rsidR="005D2D77" w14:paraId="20D2DC9A" w14:textId="77777777" w:rsidTr="0065423E">
        <w:tc>
          <w:tcPr>
            <w:tcW w:w="5000" w:type="pct"/>
            <w:gridSpan w:val="3"/>
          </w:tcPr>
          <w:p w14:paraId="2E44CF56" w14:textId="77777777" w:rsidR="005D2D77" w:rsidRDefault="005D2D77" w:rsidP="0065423E">
            <w:pPr>
              <w:rPr>
                <w:b/>
                <w:bCs/>
              </w:rPr>
            </w:pPr>
            <w:r>
              <w:rPr>
                <w:b/>
                <w:bCs/>
              </w:rPr>
              <w:t>Table 1. Equation Components and their Definitions</w:t>
            </w:r>
          </w:p>
        </w:tc>
      </w:tr>
      <w:tr w:rsidR="005D2D77" w14:paraId="14E806E8" w14:textId="77777777" w:rsidTr="0065423E">
        <w:tc>
          <w:tcPr>
            <w:tcW w:w="2163" w:type="pct"/>
          </w:tcPr>
          <w:p w14:paraId="5465C8ED" w14:textId="77777777" w:rsidR="005D2D77" w:rsidRPr="00051FA4" w:rsidRDefault="005D2D77" w:rsidP="0065423E">
            <w:pPr>
              <w:jc w:val="center"/>
              <w:rPr>
                <w:b/>
                <w:bCs/>
              </w:rPr>
            </w:pPr>
            <w:r w:rsidRPr="00051FA4">
              <w:rPr>
                <w:b/>
                <w:bCs/>
              </w:rPr>
              <w:t>Component</w:t>
            </w:r>
          </w:p>
        </w:tc>
        <w:tc>
          <w:tcPr>
            <w:tcW w:w="1688" w:type="pct"/>
          </w:tcPr>
          <w:p w14:paraId="5FDA02CA" w14:textId="77777777" w:rsidR="005D2D77" w:rsidRPr="00051FA4" w:rsidRDefault="005D2D77" w:rsidP="0065423E">
            <w:pPr>
              <w:jc w:val="center"/>
              <w:rPr>
                <w:b/>
                <w:bCs/>
              </w:rPr>
            </w:pPr>
            <w:r w:rsidRPr="00051FA4">
              <w:rPr>
                <w:b/>
                <w:bCs/>
              </w:rPr>
              <w:t>Definition</w:t>
            </w:r>
          </w:p>
        </w:tc>
        <w:tc>
          <w:tcPr>
            <w:tcW w:w="1149" w:type="pct"/>
          </w:tcPr>
          <w:p w14:paraId="49A9DF4A" w14:textId="77777777" w:rsidR="005D2D77" w:rsidRPr="00051FA4" w:rsidRDefault="005D2D77" w:rsidP="006542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Assumed values</w:t>
            </w:r>
          </w:p>
        </w:tc>
      </w:tr>
      <w:tr w:rsidR="005D2D77" w14:paraId="51391632" w14:textId="77777777" w:rsidTr="0065423E">
        <w:tc>
          <w:tcPr>
            <w:tcW w:w="2163" w:type="pct"/>
            <w:vAlign w:val="center"/>
          </w:tcPr>
          <w:p w14:paraId="245DB0C6" w14:textId="77777777" w:rsidR="005D2D77" w:rsidRDefault="005D2D77" w:rsidP="006542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a,d,e</m:t>
                    </m:r>
                  </m:sub>
                </m:sSub>
              </m:oMath>
            </m:oMathPara>
          </w:p>
        </w:tc>
        <w:tc>
          <w:tcPr>
            <w:tcW w:w="1688" w:type="pct"/>
          </w:tcPr>
          <w:p w14:paraId="39536223" w14:textId="77777777" w:rsidR="005D2D77" w:rsidRDefault="005D2D77" w:rsidP="0065423E">
            <w:r>
              <w:t>Number of deaths from gastric cancer.</w:t>
            </w:r>
          </w:p>
        </w:tc>
        <w:tc>
          <w:tcPr>
            <w:tcW w:w="1149" w:type="pct"/>
            <w:vAlign w:val="center"/>
          </w:tcPr>
          <w:p w14:paraId="4EE8BA1F" w14:textId="77777777" w:rsidR="005D2D77" w:rsidRDefault="005D2D77" w:rsidP="0065423E">
            <w:pPr>
              <w:jc w:val="center"/>
            </w:pPr>
            <w:r>
              <w:t>None (outcome of model)</w:t>
            </w:r>
          </w:p>
        </w:tc>
      </w:tr>
      <w:tr w:rsidR="005D2D77" w14:paraId="48C5F004" w14:textId="77777777" w:rsidTr="0065423E">
        <w:tc>
          <w:tcPr>
            <w:tcW w:w="2163" w:type="pct"/>
            <w:vAlign w:val="center"/>
          </w:tcPr>
          <w:p w14:paraId="16155B53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oMath>
            </m:oMathPara>
          </w:p>
        </w:tc>
        <w:tc>
          <w:tcPr>
            <w:tcW w:w="1688" w:type="pct"/>
          </w:tcPr>
          <w:p w14:paraId="4C5D4CDA" w14:textId="77777777" w:rsidR="005D2D77" w:rsidRDefault="005D2D77" w:rsidP="0065423E">
            <w:r>
              <w:t>Five-year age group</w:t>
            </w:r>
          </w:p>
        </w:tc>
        <w:tc>
          <w:tcPr>
            <w:tcW w:w="1149" w:type="pct"/>
            <w:vAlign w:val="center"/>
          </w:tcPr>
          <w:p w14:paraId="66FD467E" w14:textId="77777777" w:rsidR="00C05F1F" w:rsidRDefault="00C05F1F" w:rsidP="0065423E">
            <w:pPr>
              <w:jc w:val="center"/>
            </w:pPr>
            <w:r>
              <w:t>USER-DEFINED</w:t>
            </w:r>
          </w:p>
          <w:p w14:paraId="325A2EE6" w14:textId="36E414C3" w:rsidR="005D2D77" w:rsidRDefault="005D2D77" w:rsidP="0065423E">
            <w:pPr>
              <w:jc w:val="center"/>
            </w:pPr>
            <w:r>
              <w:t>&lt;40, 40-44, …, 85+</w:t>
            </w:r>
          </w:p>
        </w:tc>
      </w:tr>
      <w:tr w:rsidR="005D2D77" w14:paraId="3A165FE6" w14:textId="77777777" w:rsidTr="0065423E">
        <w:tc>
          <w:tcPr>
            <w:tcW w:w="2163" w:type="pct"/>
            <w:vAlign w:val="center"/>
          </w:tcPr>
          <w:p w14:paraId="6C95A7B6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oMath>
            </m:oMathPara>
          </w:p>
        </w:tc>
        <w:tc>
          <w:tcPr>
            <w:tcW w:w="1688" w:type="pct"/>
          </w:tcPr>
          <w:p w14:paraId="444FDE4A" w14:textId="77777777" w:rsidR="005D2D77" w:rsidRDefault="005D2D77" w:rsidP="0065423E">
            <w:r>
              <w:t>Racial/ethnic group</w:t>
            </w:r>
          </w:p>
        </w:tc>
        <w:tc>
          <w:tcPr>
            <w:tcW w:w="1149" w:type="pct"/>
            <w:vAlign w:val="center"/>
          </w:tcPr>
          <w:p w14:paraId="15DE3134" w14:textId="08125D0E" w:rsidR="00C05F1F" w:rsidRDefault="00C05F1F" w:rsidP="0065423E">
            <w:pPr>
              <w:jc w:val="center"/>
            </w:pPr>
            <w:r>
              <w:t>USER-DEFINED</w:t>
            </w:r>
          </w:p>
          <w:p w14:paraId="470F8962" w14:textId="4224B91C" w:rsidR="005D2D77" w:rsidRDefault="005D2D77" w:rsidP="0065423E">
            <w:pPr>
              <w:jc w:val="center"/>
            </w:pPr>
            <w:r>
              <w:t>Non-Hispanic White, Non-Hispanic Black, Non-Hispanic Native American/Alaskan Native, Non-Hispanic Asian American/Pacific Islander, Hispanic</w:t>
            </w:r>
          </w:p>
        </w:tc>
      </w:tr>
      <w:tr w:rsidR="005D2D77" w14:paraId="2D1DD4EE" w14:textId="77777777" w:rsidTr="0065423E">
        <w:tc>
          <w:tcPr>
            <w:tcW w:w="2163" w:type="pct"/>
            <w:vAlign w:val="center"/>
          </w:tcPr>
          <w:p w14:paraId="0769D898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oMath>
            </m:oMathPara>
          </w:p>
        </w:tc>
        <w:tc>
          <w:tcPr>
            <w:tcW w:w="1688" w:type="pct"/>
          </w:tcPr>
          <w:p w14:paraId="02A6F120" w14:textId="77777777" w:rsidR="005D2D77" w:rsidRDefault="005D2D77" w:rsidP="0065423E">
            <w:r>
              <w:t>Year of gastric cancer death</w:t>
            </w:r>
          </w:p>
        </w:tc>
        <w:tc>
          <w:tcPr>
            <w:tcW w:w="1149" w:type="pct"/>
            <w:vAlign w:val="center"/>
          </w:tcPr>
          <w:p w14:paraId="597D0B0D" w14:textId="77777777" w:rsidR="005D2D77" w:rsidRDefault="005D2D77" w:rsidP="0065423E">
            <w:pPr>
              <w:jc w:val="center"/>
            </w:pPr>
            <w:r>
              <w:t>2000-2034</w:t>
            </w:r>
          </w:p>
        </w:tc>
      </w:tr>
      <w:tr w:rsidR="005D2D77" w14:paraId="5D9EA681" w14:textId="77777777" w:rsidTr="0065423E">
        <w:tc>
          <w:tcPr>
            <w:tcW w:w="2163" w:type="pct"/>
            <w:vAlign w:val="center"/>
          </w:tcPr>
          <w:p w14:paraId="6C7E8BD2" w14:textId="77777777" w:rsidR="005D2D77" w:rsidRDefault="005D2D77" w:rsidP="0065423E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ρ</m:t>
                </m:r>
              </m:oMath>
            </m:oMathPara>
          </w:p>
        </w:tc>
        <w:tc>
          <w:tcPr>
            <w:tcW w:w="1688" w:type="pct"/>
          </w:tcPr>
          <w:p w14:paraId="4DC6DD91" w14:textId="77777777" w:rsidR="005D2D77" w:rsidRDefault="005D2D77" w:rsidP="0065423E">
            <w:r>
              <w:t>Annual percentage change in gastric cancer incidence, incidence-based mortality, or mortality.</w:t>
            </w:r>
          </w:p>
        </w:tc>
        <w:tc>
          <w:tcPr>
            <w:tcW w:w="1149" w:type="pct"/>
            <w:vAlign w:val="center"/>
          </w:tcPr>
          <w:p w14:paraId="612EDB44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See Supplementary Table 2 Columns C, P, and AC and Supplementary Table 3 Columns C and P</w:t>
            </w:r>
          </w:p>
        </w:tc>
      </w:tr>
      <w:tr w:rsidR="005D2D77" w14:paraId="58282103" w14:textId="77777777" w:rsidTr="0065423E">
        <w:tc>
          <w:tcPr>
            <w:tcW w:w="2163" w:type="pct"/>
            <w:vAlign w:val="center"/>
          </w:tcPr>
          <w:p w14:paraId="2A6684CC" w14:textId="77777777" w:rsidR="005D2D77" w:rsidRDefault="005D2D77" w:rsidP="0065423E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1-S</m:t>
                </m:r>
              </m:oMath>
            </m:oMathPara>
          </w:p>
        </w:tc>
        <w:tc>
          <w:tcPr>
            <w:tcW w:w="1688" w:type="pct"/>
          </w:tcPr>
          <w:p w14:paraId="3A014919" w14:textId="77777777" w:rsidR="005D2D77" w:rsidRDefault="005D2D77" w:rsidP="0065423E">
            <w:r>
              <w:rPr>
                <w:rFonts w:eastAsiaTheme="minorEastAsia"/>
              </w:rPr>
              <w:t xml:space="preserve">Age-specific mortality from gastric cancer. </w:t>
            </w:r>
          </w:p>
        </w:tc>
        <w:tc>
          <w:tcPr>
            <w:tcW w:w="1149" w:type="pct"/>
            <w:vAlign w:val="center"/>
          </w:tcPr>
          <w:p w14:paraId="5E5E0664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 Columns P, R, and T</w:t>
            </w:r>
          </w:p>
        </w:tc>
      </w:tr>
      <w:tr w:rsidR="005D2D77" w14:paraId="4D70E7DE" w14:textId="77777777" w:rsidTr="0065423E">
        <w:tc>
          <w:tcPr>
            <w:tcW w:w="2163" w:type="pct"/>
            <w:vAlign w:val="center"/>
          </w:tcPr>
          <w:p w14:paraId="16876581" w14:textId="77777777" w:rsidR="005D2D77" w:rsidRDefault="005D2D77" w:rsidP="0065423E">
            <m:oMathPara>
              <m:oMath>
                <m:r>
                  <w:rPr>
                    <w:rFonts w:ascii="Cambria Math" w:eastAsiaTheme="majorEastAsia" w:hAnsi="Cambria Math" w:cstheme="majorBidi"/>
                    <w:sz w:val="32"/>
                    <w:szCs w:val="32"/>
                  </w:rPr>
                  <m:t>γ</m:t>
                </m:r>
              </m:oMath>
            </m:oMathPara>
          </w:p>
        </w:tc>
        <w:tc>
          <w:tcPr>
            <w:tcW w:w="1688" w:type="pct"/>
          </w:tcPr>
          <w:p w14:paraId="634DD18A" w14:textId="77777777" w:rsidR="005D2D77" w:rsidRDefault="005D2D77" w:rsidP="0065423E">
            <w:r>
              <w:rPr>
                <w:rFonts w:eastAsiaTheme="minorEastAsia"/>
              </w:rPr>
              <w:t>Proportion</w:t>
            </w:r>
            <w:r w:rsidRPr="00253580">
              <w:rPr>
                <w:rFonts w:eastAsiaTheme="minorEastAsia"/>
              </w:rPr>
              <w:t xml:space="preserve"> of gastric cancer </w:t>
            </w:r>
            <w:r>
              <w:rPr>
                <w:rFonts w:eastAsiaTheme="minorEastAsia"/>
              </w:rPr>
              <w:t xml:space="preserve">deaths </w:t>
            </w:r>
            <w:r w:rsidRPr="00253580">
              <w:rPr>
                <w:rFonts w:eastAsiaTheme="minorEastAsia"/>
              </w:rPr>
              <w:t xml:space="preserve">attributable to </w:t>
            </w:r>
            <w:r>
              <w:rPr>
                <w:rFonts w:eastAsiaTheme="minorEastAsia"/>
              </w:rPr>
              <w:t>IM</w:t>
            </w:r>
            <w:r w:rsidRPr="00253580">
              <w:rPr>
                <w:rFonts w:eastAsiaTheme="minorEastAsia"/>
              </w:rPr>
              <w:t>.</w:t>
            </w:r>
          </w:p>
        </w:tc>
        <w:tc>
          <w:tcPr>
            <w:tcW w:w="1149" w:type="pct"/>
            <w:vAlign w:val="center"/>
          </w:tcPr>
          <w:p w14:paraId="3B6C8681" w14:textId="77777777" w:rsidR="005D2D77" w:rsidRPr="00253580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4, Column L</w:t>
            </w:r>
          </w:p>
        </w:tc>
      </w:tr>
      <w:tr w:rsidR="005D2D77" w14:paraId="6E6243A1" w14:textId="77777777" w:rsidTr="0065423E">
        <w:tc>
          <w:tcPr>
            <w:tcW w:w="2163" w:type="pct"/>
            <w:vAlign w:val="center"/>
          </w:tcPr>
          <w:p w14:paraId="7F7C03CA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11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32"/>
                            <w:szCs w:val="32"/>
                          </w:rPr>
                          <m:t>a,d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688" w:type="pct"/>
          </w:tcPr>
          <w:p w14:paraId="53AA5BE9" w14:textId="77777777" w:rsidR="005D2D77" w:rsidRPr="00AF2488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all gastric cancer cases that arose from low-risk IM among individuals who were seronegative for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infection.</w:t>
            </w:r>
          </w:p>
        </w:tc>
        <w:tc>
          <w:tcPr>
            <w:tcW w:w="1149" w:type="pct"/>
            <w:vAlign w:val="center"/>
          </w:tcPr>
          <w:p w14:paraId="4994D954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4, Column U</w:t>
            </w:r>
          </w:p>
        </w:tc>
      </w:tr>
      <w:tr w:rsidR="005D2D77" w14:paraId="7F299B64" w14:textId="77777777" w:rsidTr="0065423E">
        <w:tc>
          <w:tcPr>
            <w:tcW w:w="2163" w:type="pct"/>
            <w:vAlign w:val="center"/>
          </w:tcPr>
          <w:p w14:paraId="4AC968B4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32"/>
                            <w:szCs w:val="32"/>
                          </w:rPr>
                          <m:t>a,d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688" w:type="pct"/>
          </w:tcPr>
          <w:p w14:paraId="2BC2ACEA" w14:textId="77777777" w:rsidR="005D2D77" w:rsidRPr="00253580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all gastric cancer cases that arose from high-risk IM among individuals who were seronegative for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infection.</w:t>
            </w:r>
          </w:p>
        </w:tc>
        <w:tc>
          <w:tcPr>
            <w:tcW w:w="1149" w:type="pct"/>
            <w:vAlign w:val="center"/>
          </w:tcPr>
          <w:p w14:paraId="66705995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4, Column V</w:t>
            </w:r>
          </w:p>
        </w:tc>
      </w:tr>
      <w:tr w:rsidR="005D2D77" w14:paraId="30BF2555" w14:textId="77777777" w:rsidTr="0065423E">
        <w:tc>
          <w:tcPr>
            <w:tcW w:w="2163" w:type="pct"/>
            <w:vAlign w:val="center"/>
          </w:tcPr>
          <w:p w14:paraId="7A3B4B9A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21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32"/>
                            <w:szCs w:val="32"/>
                          </w:rPr>
                          <m:t>a,d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688" w:type="pct"/>
          </w:tcPr>
          <w:p w14:paraId="4FD051F3" w14:textId="77777777" w:rsidR="005D2D77" w:rsidRPr="00253580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all gastric cancer cases that arose from low-risk IM among individuals who were seropositive for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infection.</w:t>
            </w:r>
          </w:p>
        </w:tc>
        <w:tc>
          <w:tcPr>
            <w:tcW w:w="1149" w:type="pct"/>
            <w:vAlign w:val="center"/>
          </w:tcPr>
          <w:p w14:paraId="05E4ACA0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4, Column W</w:t>
            </w:r>
          </w:p>
        </w:tc>
      </w:tr>
      <w:tr w:rsidR="005D2D77" w14:paraId="4C924764" w14:textId="77777777" w:rsidTr="0065423E">
        <w:tc>
          <w:tcPr>
            <w:tcW w:w="2163" w:type="pct"/>
            <w:vAlign w:val="center"/>
          </w:tcPr>
          <w:p w14:paraId="3007F1FD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22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32"/>
                            <w:szCs w:val="32"/>
                          </w:rPr>
                          <m:t>a,d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688" w:type="pct"/>
          </w:tcPr>
          <w:p w14:paraId="3BDB5505" w14:textId="77777777" w:rsidR="005D2D77" w:rsidRPr="00253580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all gastric cancer cases that arose from high-risk IM among individuals who were seropositive for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infection.</w:t>
            </w:r>
          </w:p>
        </w:tc>
        <w:tc>
          <w:tcPr>
            <w:tcW w:w="1149" w:type="pct"/>
            <w:vAlign w:val="center"/>
          </w:tcPr>
          <w:p w14:paraId="6859800C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w:r>
              <w:t>See Supplementary Table 4, Column X</w:t>
            </w:r>
          </w:p>
        </w:tc>
      </w:tr>
      <w:bookmarkStart w:id="0" w:name="_Hlk134454573"/>
      <w:tr w:rsidR="005D2D77" w14:paraId="03AC7AF1" w14:textId="77777777" w:rsidTr="0065423E">
        <w:tc>
          <w:tcPr>
            <w:tcW w:w="2163" w:type="pct"/>
            <w:vAlign w:val="center"/>
          </w:tcPr>
          <w:p w14:paraId="22C9AAE9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screen</m:t>
                    </m:r>
                  </m:sub>
                </m:sSub>
              </m:oMath>
            </m:oMathPara>
            <w:bookmarkEnd w:id="0"/>
          </w:p>
        </w:tc>
        <w:tc>
          <w:tcPr>
            <w:tcW w:w="1688" w:type="pct"/>
          </w:tcPr>
          <w:p w14:paraId="2DAE6F7B" w14:textId="77777777" w:rsidR="005D2D77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Relative reduction in risk of gastric cancer mortality due to endoscopic screening. Composed of: </w:t>
            </w:r>
          </w:p>
          <w:p w14:paraId="17F79C6D" w14:textId="77777777" w:rsidR="005D2D77" w:rsidRPr="00793F9B" w:rsidRDefault="005D2D77" w:rsidP="0065423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screen0</m:t>
                  </m:r>
                </m:sub>
              </m:sSub>
            </m:oMath>
            <w:r>
              <w:t>,</w:t>
            </w:r>
            <w:r w:rsidRPr="00793F9B">
              <w:t xml:space="preserve"> the relative risk of gastric cancer assuming full compliance</w:t>
            </w:r>
          </w:p>
          <w:p w14:paraId="1138B3CE" w14:textId="77777777" w:rsidR="005D2D77" w:rsidRPr="00793F9B" w:rsidRDefault="005D2D77" w:rsidP="0065423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screen</m:t>
                  </m:r>
                </m:sub>
              </m:sSub>
            </m:oMath>
            <w:r>
              <w:rPr>
                <w:rFonts w:eastAsiaTheme="minorEastAsia"/>
              </w:rPr>
              <w:t>,</w:t>
            </w:r>
            <w:r w:rsidRPr="00793F9B">
              <w:rPr>
                <w:rFonts w:eastAsiaTheme="minorEastAsia"/>
              </w:rPr>
              <w:t xml:space="preserve"> the proportion of compliance, ranging from 0-1.</w:t>
            </w:r>
          </w:p>
          <w:p w14:paraId="47568DC6" w14:textId="77777777" w:rsidR="005D2D77" w:rsidRPr="001F1A16" w:rsidRDefault="005D2D77" w:rsidP="0065423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screen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screen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screen0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screen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9" w:type="pct"/>
            <w:vAlign w:val="center"/>
          </w:tcPr>
          <w:p w14:paraId="67E1BDDF" w14:textId="1825C7F9" w:rsidR="00C05F1F" w:rsidRPr="00C05F1F" w:rsidRDefault="00C05F1F" w:rsidP="0065423E">
            <w:pPr>
              <w:jc w:val="center"/>
              <w:rPr>
                <w:rFonts w:eastAsiaTheme="minorEastAsia"/>
                <w:iCs/>
              </w:rPr>
            </w:pPr>
            <w:r>
              <w:t>USER-DEFINED</w:t>
            </w:r>
          </w:p>
          <w:p w14:paraId="5E89B7A6" w14:textId="4388884D" w:rsidR="005D2D77" w:rsidRPr="00B41CD6" w:rsidRDefault="005D2D77" w:rsidP="0065423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screen0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=0.6</m:t>
                </m:r>
              </m:oMath>
            </m:oMathPara>
          </w:p>
          <w:p w14:paraId="64574986" w14:textId="77777777" w:rsidR="005D2D77" w:rsidRDefault="005D2D77" w:rsidP="0065423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0.0≤χ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screen0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≤1.0</m:t>
                </m:r>
              </m:oMath>
            </m:oMathPara>
          </w:p>
        </w:tc>
      </w:tr>
      <w:tr w:rsidR="005D2D77" w14:paraId="3BC70AAA" w14:textId="77777777" w:rsidTr="0065423E">
        <w:tc>
          <w:tcPr>
            <w:tcW w:w="2163" w:type="pct"/>
            <w:vAlign w:val="center"/>
          </w:tcPr>
          <w:p w14:paraId="0AF51A30" w14:textId="77777777" w:rsidR="005D2D77" w:rsidRDefault="005D2D77" w:rsidP="0065423E">
            <w:pPr>
              <w:jc w:val="center"/>
              <w:rPr>
                <w:rFonts w:eastAsia="Calibri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32"/>
                        <w:szCs w:val="32"/>
                      </w:rPr>
                      <m:t>Hp</m:t>
                    </m:r>
                  </m:sub>
                </m:sSub>
              </m:oMath>
            </m:oMathPara>
          </w:p>
        </w:tc>
        <w:tc>
          <w:tcPr>
            <w:tcW w:w="1688" w:type="pct"/>
            <w:vAlign w:val="center"/>
          </w:tcPr>
          <w:p w14:paraId="77FA6479" w14:textId="77777777" w:rsidR="005D2D77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Relative reduction in risk of gastric cancer mortality due to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eradication treatment. Composed of: </w:t>
            </w:r>
          </w:p>
          <w:p w14:paraId="5BED6945" w14:textId="77777777" w:rsidR="005D2D77" w:rsidRPr="00793F9B" w:rsidRDefault="005D2D77" w:rsidP="0065423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Hp0</m:t>
                  </m:r>
                </m:sub>
              </m:sSub>
            </m:oMath>
            <w:r>
              <w:t>,</w:t>
            </w:r>
            <w:r w:rsidRPr="00793F9B">
              <w:t xml:space="preserve"> the relative risk of gastric cancer assuming full compliance</w:t>
            </w:r>
          </w:p>
          <w:p w14:paraId="3DEC6AE3" w14:textId="77777777" w:rsidR="005D2D77" w:rsidRPr="00793F9B" w:rsidRDefault="005D2D77" w:rsidP="0065423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Hp</m:t>
                  </m:r>
                </m:sub>
              </m:sSub>
            </m:oMath>
            <w:r>
              <w:rPr>
                <w:rFonts w:eastAsiaTheme="minorEastAsia"/>
              </w:rPr>
              <w:t>,</w:t>
            </w:r>
            <w:r w:rsidRPr="00793F9B">
              <w:rPr>
                <w:rFonts w:eastAsiaTheme="minorEastAsia"/>
              </w:rPr>
              <w:t xml:space="preserve"> the proportion of compliance, ranging from 0-1.</w:t>
            </w:r>
          </w:p>
          <w:p w14:paraId="31CD52BE" w14:textId="77777777" w:rsidR="005D2D77" w:rsidRPr="00920789" w:rsidRDefault="005D2D77" w:rsidP="0065423E">
            <w:pPr>
              <w:rPr>
                <w:rFonts w:eastAsiaTheme="minorEastAsia"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(χ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Hp0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)+(1-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49" w:type="pct"/>
            <w:vAlign w:val="center"/>
          </w:tcPr>
          <w:p w14:paraId="4202FE76" w14:textId="1B0761D8" w:rsidR="00C05F1F" w:rsidRPr="00C05F1F" w:rsidRDefault="00C05F1F" w:rsidP="0065423E">
            <w:pPr>
              <w:jc w:val="center"/>
              <w:rPr>
                <w:rFonts w:eastAsiaTheme="minorEastAsia"/>
                <w:iCs/>
              </w:rPr>
            </w:pPr>
            <w:r>
              <w:t>USER-DEFINED</w:t>
            </w:r>
          </w:p>
          <w:p w14:paraId="2CEC196B" w14:textId="1A86D76C" w:rsidR="005D2D77" w:rsidRPr="00B41CD6" w:rsidRDefault="005D2D77" w:rsidP="0065423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Hp0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=0.6</m:t>
                </m:r>
              </m:oMath>
            </m:oMathPara>
          </w:p>
          <w:p w14:paraId="7897E1E7" w14:textId="77777777" w:rsidR="005D2D77" w:rsidRPr="00B41CD6" w:rsidRDefault="005D2D77" w:rsidP="0065423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0.0≤χ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≤1.0</m:t>
                </m:r>
              </m:oMath>
            </m:oMathPara>
          </w:p>
          <w:p w14:paraId="75C2586B" w14:textId="77777777" w:rsidR="005D2D77" w:rsidRPr="00253580" w:rsidRDefault="005D2D77" w:rsidP="0065423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0.0≤E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≤1.0</m:t>
                </m:r>
              </m:oMath>
            </m:oMathPara>
          </w:p>
        </w:tc>
      </w:tr>
      <w:tr w:rsidR="005D2D77" w14:paraId="46D2D3A5" w14:textId="77777777" w:rsidTr="0065423E">
        <w:tc>
          <w:tcPr>
            <w:tcW w:w="2163" w:type="pct"/>
            <w:vAlign w:val="center"/>
          </w:tcPr>
          <w:p w14:paraId="5DF0F718" w14:textId="77777777" w:rsidR="005D2D77" w:rsidRDefault="005D2D77" w:rsidP="0065423E">
            <w:pPr>
              <w:jc w:val="center"/>
              <w:rPr>
                <w:rFonts w:eastAsia="Calibri" w:cs="Arial"/>
                <w:color w:val="FF000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24"/>
                        <w:szCs w:val="24"/>
                      </w:rPr>
                      <m:t>Hp+</m:t>
                    </m:r>
                  </m:sub>
                </m:sSub>
              </m:oMath>
            </m:oMathPara>
          </w:p>
        </w:tc>
        <w:tc>
          <w:tcPr>
            <w:tcW w:w="1688" w:type="pct"/>
            <w:vAlign w:val="center"/>
          </w:tcPr>
          <w:p w14:paraId="00443DAC" w14:textId="77777777" w:rsidR="005D2D77" w:rsidRPr="00473A57" w:rsidRDefault="005D2D77" w:rsidP="006542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effectiveness of </w:t>
            </w:r>
            <w:r>
              <w:rPr>
                <w:rFonts w:eastAsiaTheme="minorEastAsia"/>
                <w:i/>
                <w:iCs/>
              </w:rPr>
              <w:t>H. pylori</w:t>
            </w:r>
            <w:r>
              <w:rPr>
                <w:rFonts w:eastAsiaTheme="minorEastAsia"/>
              </w:rPr>
              <w:t xml:space="preserve"> eradication therapy. As a conservative estimate, we assume 90% effectiveness.</w:t>
            </w:r>
          </w:p>
        </w:tc>
        <w:tc>
          <w:tcPr>
            <w:tcW w:w="1149" w:type="pct"/>
            <w:vAlign w:val="center"/>
          </w:tcPr>
          <w:p w14:paraId="4D62186D" w14:textId="2C7D95B1" w:rsidR="00334609" w:rsidRPr="00334609" w:rsidRDefault="00334609" w:rsidP="0065423E">
            <w:pPr>
              <w:jc w:val="center"/>
              <w:rPr>
                <w:rFonts w:eastAsiaTheme="minorEastAsia"/>
                <w:iCs/>
              </w:rPr>
            </w:pPr>
            <w:r>
              <w:t>USER-DEFINED</w:t>
            </w:r>
          </w:p>
          <w:p w14:paraId="54FE9CD1" w14:textId="7759DC37" w:rsidR="005D2D77" w:rsidRDefault="005D2D77" w:rsidP="0065423E">
            <w:pPr>
              <w:jc w:val="center"/>
              <w:rPr>
                <w:rFonts w:eastAsia="Yu Mincho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0.0≤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FF0000"/>
                            <w:sz w:val="24"/>
                            <w:szCs w:val="24"/>
                          </w:rPr>
                          <m:t>Hp+</m:t>
                        </m:r>
                      </m:sub>
                    </m:sSub>
                  </m:e>
                  <m:sub/>
                </m:sSub>
                <m:r>
                  <w:rPr>
                    <w:rFonts w:ascii="Cambria Math" w:eastAsiaTheme="minorEastAsia" w:hAnsi="Cambria Math"/>
                  </w:rPr>
                  <m:t>≤1.0</m:t>
                </m:r>
              </m:oMath>
            </m:oMathPara>
          </w:p>
        </w:tc>
      </w:tr>
    </w:tbl>
    <w:p w14:paraId="7840F4DC" w14:textId="77777777" w:rsidR="005C7AA2" w:rsidRDefault="005C7AA2"/>
    <w:sectPr w:rsidR="005C7AA2" w:rsidSect="00CD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77"/>
    <w:rsid w:val="000807EF"/>
    <w:rsid w:val="001D1258"/>
    <w:rsid w:val="00220663"/>
    <w:rsid w:val="00334609"/>
    <w:rsid w:val="005C7AA2"/>
    <w:rsid w:val="005D2D77"/>
    <w:rsid w:val="00C05F1F"/>
    <w:rsid w:val="00CD1D95"/>
    <w:rsid w:val="00D258D3"/>
    <w:rsid w:val="00D539CE"/>
    <w:rsid w:val="00D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957E"/>
  <w15:chartTrackingRefBased/>
  <w15:docId w15:val="{03CB2687-BEE2-CE41-97BA-544B9227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77"/>
    <w:pPr>
      <w:spacing w:line="259" w:lineRule="auto"/>
    </w:pPr>
    <w:rPr>
      <w:rFonts w:ascii="Bahnschrift" w:eastAsiaTheme="minorHAnsi" w:hAnsi="Bahnschrift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D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D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D7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D7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D7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D7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7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D77"/>
    <w:pPr>
      <w:spacing w:before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kern w:val="2"/>
      <w:sz w:val="24"/>
      <w:szCs w:val="24"/>
      <w:lang w:val="en-GB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D77"/>
    <w:pPr>
      <w:spacing w:line="278" w:lineRule="auto"/>
      <w:ind w:left="720"/>
      <w:contextualSpacing/>
    </w:pPr>
    <w:rPr>
      <w:rFonts w:asciiTheme="minorHAnsi" w:eastAsiaTheme="minorEastAsia" w:hAnsiTheme="minorHAnsi"/>
      <w:kern w:val="2"/>
      <w:sz w:val="24"/>
      <w:szCs w:val="24"/>
      <w:lang w:val="en-GB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kern w:val="2"/>
      <w:sz w:val="24"/>
      <w:szCs w:val="24"/>
      <w:lang w:val="en-GB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D7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D2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D77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2D77"/>
    <w:rPr>
      <w:rFonts w:eastAsiaTheme="minorHAnsi"/>
      <w:kern w:val="0"/>
      <w:sz w:val="20"/>
      <w:szCs w:val="20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5D2D77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Murphy</dc:creator>
  <cp:keywords/>
  <dc:description/>
  <cp:lastModifiedBy>Jack Murphy</cp:lastModifiedBy>
  <cp:revision>3</cp:revision>
  <dcterms:created xsi:type="dcterms:W3CDTF">2025-08-19T20:25:00Z</dcterms:created>
  <dcterms:modified xsi:type="dcterms:W3CDTF">2025-08-19T20:28:00Z</dcterms:modified>
</cp:coreProperties>
</file>