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BBCBE" w14:textId="77777777" w:rsidR="00263EC0" w:rsidRPr="00A070DF" w:rsidRDefault="00B806DD" w:rsidP="0021032C">
      <w:pPr>
        <w:autoSpaceDE w:val="0"/>
        <w:autoSpaceDN w:val="0"/>
        <w:adjustRightInd w:val="0"/>
        <w:spacing w:after="0" w:line="360" w:lineRule="auto"/>
        <w:rPr>
          <w:rFonts w:ascii="Times New Roman" w:hAnsi="Times New Roman" w:cs="Times New Roman"/>
          <w:b/>
          <w:bCs/>
          <w:kern w:val="0"/>
          <w:sz w:val="22"/>
          <w:szCs w:val="22"/>
        </w:rPr>
      </w:pPr>
      <w:r w:rsidRPr="00A070DF">
        <w:rPr>
          <w:rFonts w:ascii="Times New Roman" w:hAnsi="Times New Roman" w:cs="Times New Roman"/>
          <w:b/>
          <w:bCs/>
          <w:kern w:val="0"/>
          <w:sz w:val="22"/>
          <w:szCs w:val="22"/>
        </w:rPr>
        <w:t xml:space="preserve">Do </w:t>
      </w:r>
      <w:r w:rsidR="00E9624E" w:rsidRPr="00A070DF">
        <w:rPr>
          <w:rFonts w:ascii="Times New Roman" w:hAnsi="Times New Roman" w:cs="Times New Roman"/>
          <w:b/>
          <w:bCs/>
          <w:kern w:val="0"/>
          <w:sz w:val="22"/>
          <w:szCs w:val="22"/>
        </w:rPr>
        <w:t xml:space="preserve">UK </w:t>
      </w:r>
      <w:r w:rsidRPr="00A070DF">
        <w:rPr>
          <w:rFonts w:ascii="Times New Roman" w:hAnsi="Times New Roman" w:cs="Times New Roman"/>
          <w:b/>
          <w:bCs/>
          <w:kern w:val="0"/>
          <w:sz w:val="22"/>
          <w:szCs w:val="22"/>
        </w:rPr>
        <w:t xml:space="preserve">equity markets react asymmetrically to </w:t>
      </w:r>
      <w:r w:rsidR="00E9624E" w:rsidRPr="00A070DF">
        <w:rPr>
          <w:rFonts w:ascii="Times New Roman" w:hAnsi="Times New Roman" w:cs="Times New Roman"/>
          <w:b/>
          <w:bCs/>
          <w:kern w:val="0"/>
          <w:sz w:val="22"/>
          <w:szCs w:val="22"/>
        </w:rPr>
        <w:t xml:space="preserve">BoE </w:t>
      </w:r>
      <w:r w:rsidRPr="00A070DF">
        <w:rPr>
          <w:rFonts w:ascii="Times New Roman" w:hAnsi="Times New Roman" w:cs="Times New Roman"/>
          <w:b/>
          <w:bCs/>
          <w:kern w:val="0"/>
          <w:sz w:val="22"/>
          <w:szCs w:val="22"/>
        </w:rPr>
        <w:t>monetary tightening vs easing?</w:t>
      </w:r>
      <w:r w:rsidR="00263EC0" w:rsidRPr="00A070DF">
        <w:rPr>
          <w:rFonts w:ascii="Times New Roman" w:hAnsi="Times New Roman" w:cs="Times New Roman"/>
          <w:b/>
          <w:bCs/>
          <w:kern w:val="0"/>
          <w:sz w:val="22"/>
          <w:szCs w:val="22"/>
        </w:rPr>
        <w:t xml:space="preserve"> </w:t>
      </w:r>
    </w:p>
    <w:p w14:paraId="42174F00" w14:textId="2714FB79" w:rsidR="00C33970" w:rsidRPr="00A070DF" w:rsidRDefault="00C33970" w:rsidP="0021032C">
      <w:pPr>
        <w:autoSpaceDE w:val="0"/>
        <w:autoSpaceDN w:val="0"/>
        <w:adjustRightInd w:val="0"/>
        <w:spacing w:after="0" w:line="360" w:lineRule="auto"/>
        <w:rPr>
          <w:rFonts w:ascii="Times New Roman" w:hAnsi="Times New Roman" w:cs="Times New Roman"/>
          <w:b/>
          <w:bCs/>
          <w:kern w:val="0"/>
          <w:sz w:val="22"/>
          <w:szCs w:val="22"/>
        </w:rPr>
      </w:pPr>
      <w:r w:rsidRPr="00A070DF">
        <w:rPr>
          <w:rFonts w:ascii="Times New Roman" w:hAnsi="Times New Roman" w:cs="Times New Roman"/>
          <w:color w:val="000000"/>
          <w:sz w:val="22"/>
          <w:szCs w:val="22"/>
        </w:rPr>
        <w:t>Do UK equity markets respond asymmetrically to different types of monetary policy shocks (Target, Path, QE), and how do these effects evolve over time?</w:t>
      </w:r>
    </w:p>
    <w:p w14:paraId="6174685D" w14:textId="77777777" w:rsidR="00C33970" w:rsidRPr="00A070DF" w:rsidRDefault="00C33970" w:rsidP="0021032C">
      <w:pPr>
        <w:autoSpaceDE w:val="0"/>
        <w:autoSpaceDN w:val="0"/>
        <w:adjustRightInd w:val="0"/>
        <w:spacing w:after="0" w:line="360" w:lineRule="auto"/>
        <w:rPr>
          <w:rFonts w:ascii="Times New Roman" w:hAnsi="Times New Roman" w:cs="Times New Roman"/>
          <w:b/>
          <w:bCs/>
          <w:kern w:val="0"/>
          <w:sz w:val="22"/>
          <w:szCs w:val="22"/>
        </w:rPr>
      </w:pPr>
    </w:p>
    <w:p w14:paraId="5A2E8F34" w14:textId="1748562A" w:rsidR="00B806DD" w:rsidRPr="00A070DF" w:rsidRDefault="00263EC0" w:rsidP="0021032C">
      <w:pPr>
        <w:autoSpaceDE w:val="0"/>
        <w:autoSpaceDN w:val="0"/>
        <w:adjustRightInd w:val="0"/>
        <w:spacing w:after="0" w:line="360" w:lineRule="auto"/>
        <w:rPr>
          <w:rFonts w:ascii="Times New Roman" w:hAnsi="Times New Roman" w:cs="Times New Roman"/>
          <w:b/>
          <w:bCs/>
          <w:kern w:val="0"/>
          <w:sz w:val="22"/>
          <w:szCs w:val="22"/>
        </w:rPr>
      </w:pPr>
      <w:r w:rsidRPr="00A070DF">
        <w:rPr>
          <w:rFonts w:ascii="Times New Roman" w:hAnsi="Times New Roman" w:cs="Times New Roman"/>
          <w:color w:val="000000"/>
          <w:sz w:val="22"/>
          <w:szCs w:val="22"/>
        </w:rPr>
        <w:t>E[equity response | policy shock]</w:t>
      </w:r>
    </w:p>
    <w:p w14:paraId="2C0D719C" w14:textId="77777777" w:rsidR="00D04BB9" w:rsidRPr="00A070DF" w:rsidRDefault="00D04BB9" w:rsidP="0021032C">
      <w:pPr>
        <w:autoSpaceDE w:val="0"/>
        <w:autoSpaceDN w:val="0"/>
        <w:adjustRightInd w:val="0"/>
        <w:spacing w:after="0" w:line="360" w:lineRule="auto"/>
        <w:rPr>
          <w:rFonts w:ascii="Times New Roman" w:hAnsi="Times New Roman" w:cs="Times New Roman"/>
          <w:kern w:val="0"/>
          <w:sz w:val="22"/>
          <w:szCs w:val="22"/>
        </w:rPr>
      </w:pPr>
    </w:p>
    <w:p w14:paraId="282AF4AA" w14:textId="15CDB073" w:rsidR="002159F0" w:rsidRPr="00A070DF" w:rsidRDefault="002159F0" w:rsidP="0021032C">
      <w:pPr>
        <w:autoSpaceDE w:val="0"/>
        <w:autoSpaceDN w:val="0"/>
        <w:adjustRightInd w:val="0"/>
        <w:spacing w:after="0" w:line="360" w:lineRule="auto"/>
        <w:rPr>
          <w:rFonts w:ascii="Times New Roman" w:hAnsi="Times New Roman" w:cs="Times New Roman"/>
          <w:b/>
          <w:bCs/>
          <w:kern w:val="0"/>
        </w:rPr>
      </w:pPr>
      <w:r w:rsidRPr="00A070DF">
        <w:rPr>
          <w:rFonts w:ascii="Times New Roman" w:hAnsi="Times New Roman" w:cs="Times New Roman"/>
          <w:b/>
          <w:bCs/>
          <w:kern w:val="0"/>
        </w:rPr>
        <w:t>Literature Review</w:t>
      </w:r>
    </w:p>
    <w:p w14:paraId="312463AC" w14:textId="77777777" w:rsidR="00361985" w:rsidRPr="00A070DF" w:rsidRDefault="00361985" w:rsidP="0021032C">
      <w:pPr>
        <w:autoSpaceDE w:val="0"/>
        <w:autoSpaceDN w:val="0"/>
        <w:adjustRightInd w:val="0"/>
        <w:spacing w:after="0" w:line="360" w:lineRule="auto"/>
        <w:rPr>
          <w:rFonts w:ascii="Times New Roman" w:hAnsi="Times New Roman" w:cs="Times New Roman"/>
          <w:kern w:val="0"/>
          <w:sz w:val="22"/>
          <w:szCs w:val="22"/>
        </w:rPr>
      </w:pPr>
    </w:p>
    <w:p w14:paraId="02ACC6C9" w14:textId="77777777" w:rsidR="00361985" w:rsidRPr="00A070DF" w:rsidRDefault="00361985" w:rsidP="003143C5">
      <w:pPr>
        <w:autoSpaceDE w:val="0"/>
        <w:autoSpaceDN w:val="0"/>
        <w:adjustRightInd w:val="0"/>
        <w:spacing w:after="0" w:line="360" w:lineRule="auto"/>
        <w:rPr>
          <w:rFonts w:ascii="Times New Roman" w:hAnsi="Times New Roman" w:cs="Times New Roman"/>
          <w:kern w:val="0"/>
          <w:sz w:val="22"/>
          <w:szCs w:val="22"/>
        </w:rPr>
      </w:pPr>
    </w:p>
    <w:p w14:paraId="57ADDA5B" w14:textId="55E10A69" w:rsidR="002159F0" w:rsidRPr="00A070DF" w:rsidRDefault="002159F0" w:rsidP="003143C5">
      <w:pPr>
        <w:autoSpaceDE w:val="0"/>
        <w:autoSpaceDN w:val="0"/>
        <w:adjustRightInd w:val="0"/>
        <w:spacing w:after="0" w:line="360" w:lineRule="auto"/>
        <w:rPr>
          <w:rFonts w:ascii="Times New Roman" w:hAnsi="Times New Roman" w:cs="Times New Roman"/>
          <w:kern w:val="0"/>
          <w:sz w:val="22"/>
          <w:szCs w:val="22"/>
        </w:rPr>
      </w:pPr>
    </w:p>
    <w:p w14:paraId="2E8D38ED" w14:textId="77777777" w:rsidR="00274D9D" w:rsidRPr="00A070DF" w:rsidRDefault="00274D9D">
      <w:pPr>
        <w:rPr>
          <w:rFonts w:ascii="Times New Roman" w:hAnsi="Times New Roman" w:cs="Times New Roman"/>
          <w:kern w:val="0"/>
          <w:sz w:val="22"/>
          <w:szCs w:val="22"/>
        </w:rPr>
      </w:pPr>
      <w:r w:rsidRPr="00A070DF">
        <w:rPr>
          <w:rFonts w:ascii="Times New Roman" w:hAnsi="Times New Roman" w:cs="Times New Roman"/>
          <w:kern w:val="0"/>
          <w:sz w:val="22"/>
          <w:szCs w:val="22"/>
        </w:rPr>
        <w:br w:type="page"/>
      </w:r>
    </w:p>
    <w:p w14:paraId="600BA82F" w14:textId="78534BBB" w:rsidR="00EE30B7" w:rsidRPr="00A070DF" w:rsidRDefault="002159F0" w:rsidP="00EE30B7">
      <w:pPr>
        <w:spacing w:after="0" w:line="360" w:lineRule="auto"/>
        <w:rPr>
          <w:rFonts w:ascii="Times New Roman" w:hAnsi="Times New Roman" w:cs="Times New Roman"/>
          <w:b/>
          <w:bCs/>
          <w:kern w:val="0"/>
        </w:rPr>
      </w:pPr>
      <w:r w:rsidRPr="00A070DF">
        <w:rPr>
          <w:rFonts w:ascii="Times New Roman" w:hAnsi="Times New Roman" w:cs="Times New Roman"/>
          <w:b/>
          <w:bCs/>
          <w:kern w:val="0"/>
        </w:rPr>
        <w:lastRenderedPageBreak/>
        <w:t>Methodology</w:t>
      </w:r>
    </w:p>
    <w:p w14:paraId="652865EB" w14:textId="77777777" w:rsidR="00EE30B7" w:rsidRPr="00A070DF" w:rsidRDefault="00EE30B7" w:rsidP="00EE30B7">
      <w:pPr>
        <w:spacing w:after="0" w:line="360" w:lineRule="auto"/>
        <w:rPr>
          <w:rFonts w:ascii="Times New Roman" w:hAnsi="Times New Roman" w:cs="Times New Roman"/>
          <w:kern w:val="0"/>
          <w:sz w:val="22"/>
          <w:szCs w:val="22"/>
          <w:u w:val="single"/>
        </w:rPr>
      </w:pPr>
      <w:r w:rsidRPr="00A070DF">
        <w:rPr>
          <w:rFonts w:ascii="Times New Roman" w:eastAsia="Times New Roman" w:hAnsi="Times New Roman" w:cs="Times New Roman"/>
          <w:color w:val="000000"/>
          <w:kern w:val="0"/>
          <w:sz w:val="22"/>
          <w:szCs w:val="22"/>
          <w:u w:val="single"/>
          <w:lang w:eastAsia="en-GB"/>
          <w14:ligatures w14:val="none"/>
        </w:rPr>
        <w:t>Main section:</w:t>
      </w:r>
    </w:p>
    <w:p w14:paraId="70922FD5" w14:textId="6FD5B8F4" w:rsidR="00EE30B7" w:rsidRPr="00A070DF" w:rsidRDefault="00EE30B7" w:rsidP="00EE30B7">
      <w:pPr>
        <w:pStyle w:val="ListParagraph"/>
        <w:numPr>
          <w:ilvl w:val="0"/>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Equity markets (</w:t>
      </w:r>
      <w:r w:rsidRPr="00A070DF">
        <w:rPr>
          <w:rFonts w:ascii="Times New Roman" w:eastAsia="Times New Roman" w:hAnsi="Times New Roman" w:cs="Times New Roman"/>
          <w:color w:val="000000"/>
          <w:kern w:val="0"/>
          <w:sz w:val="22"/>
          <w:szCs w:val="22"/>
          <w:lang w:eastAsia="en-GB"/>
          <w14:ligatures w14:val="none"/>
        </w:rPr>
        <w:t>FTSE</w:t>
      </w:r>
      <w:r w:rsidR="000576F0" w:rsidRPr="00A070DF">
        <w:rPr>
          <w:rFonts w:ascii="Times New Roman" w:eastAsia="Times New Roman" w:hAnsi="Times New Roman" w:cs="Times New Roman"/>
          <w:color w:val="000000"/>
          <w:kern w:val="0"/>
          <w:sz w:val="22"/>
          <w:szCs w:val="22"/>
          <w:lang w:eastAsia="en-GB"/>
          <w14:ligatures w14:val="none"/>
        </w:rPr>
        <w:t xml:space="preserve"> </w:t>
      </w:r>
      <w:r w:rsidRPr="00A070DF">
        <w:rPr>
          <w:rFonts w:ascii="Times New Roman" w:eastAsia="Times New Roman" w:hAnsi="Times New Roman" w:cs="Times New Roman"/>
          <w:color w:val="000000"/>
          <w:kern w:val="0"/>
          <w:sz w:val="22"/>
          <w:szCs w:val="22"/>
          <w:lang w:eastAsia="en-GB"/>
          <w14:ligatures w14:val="none"/>
        </w:rPr>
        <w:t>250 ideally</w:t>
      </w:r>
      <w:r w:rsidRPr="00A070DF">
        <w:rPr>
          <w:rFonts w:ascii="Times New Roman" w:eastAsia="Times New Roman" w:hAnsi="Times New Roman" w:cs="Times New Roman"/>
          <w:color w:val="000000"/>
          <w:kern w:val="0"/>
          <w:sz w:val="22"/>
          <w:szCs w:val="22"/>
          <w:lang w:eastAsia="en-GB"/>
          <w14:ligatures w14:val="none"/>
        </w:rPr>
        <w:t>)</w:t>
      </w:r>
    </w:p>
    <w:p w14:paraId="1351EC3E" w14:textId="0393C4A9" w:rsidR="00EE30B7" w:rsidRPr="00A070DF" w:rsidRDefault="00EE30B7" w:rsidP="00EE30B7">
      <w:pPr>
        <w:pStyle w:val="ListParagraph"/>
        <w:numPr>
          <w:ilvl w:val="0"/>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LPs with:</w:t>
      </w:r>
    </w:p>
    <w:p w14:paraId="3FC0AD01" w14:textId="57C79AB3" w:rsidR="00EE30B7" w:rsidRPr="00A070DF" w:rsidRDefault="00EE30B7" w:rsidP="00EE30B7">
      <w:pPr>
        <w:pStyle w:val="ListParagraph"/>
        <w:numPr>
          <w:ilvl w:val="1"/>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Target</w:t>
      </w:r>
    </w:p>
    <w:p w14:paraId="0A69DDBF" w14:textId="0EA324F3" w:rsidR="00EE30B7" w:rsidRPr="00A070DF" w:rsidRDefault="00EE30B7" w:rsidP="00EE30B7">
      <w:pPr>
        <w:pStyle w:val="ListParagraph"/>
        <w:numPr>
          <w:ilvl w:val="1"/>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Path</w:t>
      </w:r>
    </w:p>
    <w:p w14:paraId="45B5C7D9" w14:textId="77777777" w:rsidR="00EE30B7" w:rsidRPr="00A070DF" w:rsidRDefault="00EE30B7" w:rsidP="00EE30B7">
      <w:pPr>
        <w:pStyle w:val="ListParagraph"/>
        <w:numPr>
          <w:ilvl w:val="1"/>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QE</w:t>
      </w:r>
    </w:p>
    <w:p w14:paraId="3F06443C" w14:textId="39587A32" w:rsidR="00EE30B7" w:rsidRPr="00A070DF" w:rsidRDefault="00EE30B7" w:rsidP="00EE30B7">
      <w:pPr>
        <w:pStyle w:val="ListParagraph"/>
        <w:numPr>
          <w:ilvl w:val="0"/>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Asymmetry</w:t>
      </w:r>
      <w:r w:rsidRPr="00A070DF">
        <w:rPr>
          <w:rFonts w:ascii="Times New Roman" w:eastAsia="Times New Roman" w:hAnsi="Times New Roman" w:cs="Times New Roman"/>
          <w:color w:val="000000"/>
          <w:kern w:val="0"/>
          <w:sz w:val="22"/>
          <w:szCs w:val="22"/>
          <w:lang w:eastAsia="en-GB"/>
          <w14:ligatures w14:val="none"/>
        </w:rPr>
        <w:t xml:space="preserve"> (tightening vs easing)</w:t>
      </w:r>
    </w:p>
    <w:p w14:paraId="35D8FD68" w14:textId="142B5865" w:rsidR="00EE30B7" w:rsidRPr="00A070DF" w:rsidRDefault="00EE30B7" w:rsidP="00EE30B7">
      <w:pPr>
        <w:pStyle w:val="ListParagraph"/>
        <w:numPr>
          <w:ilvl w:val="0"/>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Horizons: 0-20 days</w:t>
      </w:r>
    </w:p>
    <w:p w14:paraId="76A56E8C" w14:textId="0F63A98B" w:rsidR="000576F0" w:rsidRPr="00A070DF" w:rsidRDefault="000576F0" w:rsidP="000576F0">
      <w:pPr>
        <w:spacing w:after="0" w:line="360" w:lineRule="auto"/>
        <w:ind w:firstLine="360"/>
        <w:rPr>
          <w:rFonts w:ascii="Times New Roman" w:hAnsi="Times New Roman" w:cs="Times New Roman"/>
          <w:kern w:val="0"/>
          <w:sz w:val="22"/>
          <w:szCs w:val="22"/>
        </w:rPr>
      </w:pPr>
      <w:r w:rsidRPr="00A070DF">
        <w:rPr>
          <w:rFonts w:ascii="Times New Roman" w:hAnsi="Times New Roman" w:cs="Times New Roman"/>
          <w:kern w:val="0"/>
          <w:sz w:val="22"/>
          <w:szCs w:val="22"/>
        </w:rPr>
        <w:t>3</w:t>
      </w:r>
      <w:r w:rsidRPr="00A070DF">
        <w:rPr>
          <w:rFonts w:ascii="Times New Roman" w:hAnsi="Times New Roman" w:cs="Times New Roman"/>
          <w:kern w:val="0"/>
          <w:sz w:val="22"/>
          <w:szCs w:val="22"/>
        </w:rPr>
        <w:t>D</w:t>
      </w:r>
      <w:r w:rsidRPr="00A070DF">
        <w:rPr>
          <w:rFonts w:ascii="Times New Roman" w:hAnsi="Times New Roman" w:cs="Times New Roman"/>
          <w:kern w:val="0"/>
          <w:sz w:val="22"/>
          <w:szCs w:val="22"/>
        </w:rPr>
        <w:t xml:space="preserve"> story:</w:t>
      </w:r>
    </w:p>
    <w:p w14:paraId="2AE38D03" w14:textId="33023B44" w:rsidR="000576F0" w:rsidRPr="00A070DF" w:rsidRDefault="000576F0" w:rsidP="002D64DD">
      <w:pPr>
        <w:spacing w:after="0" w:line="360" w:lineRule="auto"/>
        <w:jc w:val="center"/>
        <w:rPr>
          <w:rFonts w:ascii="Times New Roman" w:hAnsi="Times New Roman" w:cs="Times New Roman"/>
          <w:kern w:val="0"/>
          <w:sz w:val="22"/>
          <w:szCs w:val="22"/>
        </w:rPr>
      </w:pPr>
      <w:r w:rsidRPr="00A070DF">
        <w:rPr>
          <w:rFonts w:ascii="Times New Roman" w:hAnsi="Times New Roman" w:cs="Times New Roman"/>
          <w:noProof/>
          <w:sz w:val="22"/>
          <w:szCs w:val="22"/>
        </w:rPr>
        <w:drawing>
          <wp:inline distT="0" distB="0" distL="0" distR="0" wp14:anchorId="5E6C5CDA" wp14:editId="2CBC5D85">
            <wp:extent cx="5047615" cy="1423686"/>
            <wp:effectExtent l="0" t="0" r="0" b="0"/>
            <wp:docPr id="83206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61363" name="Picture 83206136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72341" cy="1430660"/>
                    </a:xfrm>
                    <a:prstGeom prst="rect">
                      <a:avLst/>
                    </a:prstGeom>
                  </pic:spPr>
                </pic:pic>
              </a:graphicData>
            </a:graphic>
          </wp:inline>
        </w:drawing>
      </w:r>
    </w:p>
    <w:p w14:paraId="6A5B9DE7" w14:textId="5C90679B" w:rsidR="00EE30B7" w:rsidRPr="00A070DF" w:rsidRDefault="00EE30B7" w:rsidP="00EE30B7">
      <w:pPr>
        <w:spacing w:after="0" w:line="360" w:lineRule="auto"/>
        <w:rPr>
          <w:rFonts w:ascii="Times New Roman" w:hAnsi="Times New Roman" w:cs="Times New Roman"/>
          <w:kern w:val="0"/>
          <w:sz w:val="22"/>
          <w:szCs w:val="22"/>
          <w:u w:val="single"/>
        </w:rPr>
      </w:pPr>
      <w:r w:rsidRPr="00A070DF">
        <w:rPr>
          <w:rFonts w:ascii="Times New Roman" w:eastAsia="Times New Roman" w:hAnsi="Times New Roman" w:cs="Times New Roman"/>
          <w:color w:val="000000"/>
          <w:kern w:val="0"/>
          <w:sz w:val="22"/>
          <w:szCs w:val="22"/>
          <w:u w:val="single"/>
          <w:lang w:eastAsia="en-GB"/>
          <w14:ligatures w14:val="none"/>
        </w:rPr>
        <w:t>Extension:</w:t>
      </w:r>
    </w:p>
    <w:p w14:paraId="7326C090" w14:textId="77777777" w:rsidR="00EE30B7" w:rsidRPr="00A070DF" w:rsidRDefault="00EE30B7" w:rsidP="00EE30B7">
      <w:pPr>
        <w:pStyle w:val="ListParagraph"/>
        <w:numPr>
          <w:ilvl w:val="0"/>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Apply same LP to:</w:t>
      </w:r>
    </w:p>
    <w:p w14:paraId="209E6615" w14:textId="77777777" w:rsidR="000576F0" w:rsidRPr="00A070DF" w:rsidRDefault="000576F0" w:rsidP="00EE30B7">
      <w:pPr>
        <w:pStyle w:val="ListParagraph"/>
        <w:numPr>
          <w:ilvl w:val="1"/>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FTSE 250 vs 100</w:t>
      </w:r>
    </w:p>
    <w:p w14:paraId="160C735A" w14:textId="77777777" w:rsidR="00274D9D" w:rsidRPr="00A070DF" w:rsidRDefault="000576F0" w:rsidP="00274D9D">
      <w:pPr>
        <w:pStyle w:val="ListParagraph"/>
        <w:numPr>
          <w:ilvl w:val="1"/>
          <w:numId w:val="20"/>
        </w:numPr>
        <w:spacing w:after="0" w:line="360" w:lineRule="auto"/>
        <w:rPr>
          <w:rFonts w:ascii="Times New Roman" w:hAnsi="Times New Roman" w:cs="Times New Roman"/>
          <w:kern w:val="0"/>
          <w:sz w:val="22"/>
          <w:szCs w:val="22"/>
        </w:rPr>
      </w:pPr>
      <w:proofErr w:type="gramStart"/>
      <w:r w:rsidRPr="00A070DF">
        <w:rPr>
          <w:rFonts w:ascii="Times New Roman" w:eastAsia="Times New Roman" w:hAnsi="Times New Roman" w:cs="Times New Roman"/>
          <w:color w:val="000000"/>
          <w:kern w:val="0"/>
          <w:sz w:val="22"/>
          <w:szCs w:val="22"/>
          <w:lang w:eastAsia="en-GB"/>
          <w14:ligatures w14:val="none"/>
        </w:rPr>
        <w:t>Sectoral-level</w:t>
      </w:r>
      <w:proofErr w:type="gramEnd"/>
    </w:p>
    <w:p w14:paraId="3CF99063" w14:textId="1CDC3505" w:rsidR="00274D9D" w:rsidRPr="00A070DF" w:rsidRDefault="00A070DF" w:rsidP="00274D9D">
      <w:pPr>
        <w:pStyle w:val="ListParagraph"/>
        <w:numPr>
          <w:ilvl w:val="1"/>
          <w:numId w:val="20"/>
        </w:numPr>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3 dependent variables (</w:t>
      </w:r>
      <w:r w:rsidRPr="00A070DF">
        <w:rPr>
          <w:rFonts w:ascii="Times New Roman" w:hAnsi="Times New Roman" w:cs="Times New Roman"/>
          <w:color w:val="000000"/>
          <w:sz w:val="22"/>
          <w:szCs w:val="22"/>
        </w:rPr>
        <w:t>for</w:t>
      </w:r>
      <w:r w:rsidRPr="00A070DF">
        <w:rPr>
          <w:rStyle w:val="apple-converted-space"/>
          <w:rFonts w:ascii="Times New Roman" w:hAnsi="Times New Roman" w:cs="Times New Roman"/>
          <w:color w:val="000000"/>
          <w:sz w:val="22"/>
          <w:szCs w:val="22"/>
        </w:rPr>
        <w:t> </w:t>
      </w:r>
      <w:r w:rsidRPr="00A070DF">
        <w:rPr>
          <w:rStyle w:val="Strong"/>
          <w:rFonts w:ascii="Times New Roman" w:hAnsi="Times New Roman" w:cs="Times New Roman"/>
          <w:b w:val="0"/>
          <w:bCs w:val="0"/>
          <w:color w:val="000000"/>
          <w:sz w:val="22"/>
          <w:szCs w:val="22"/>
        </w:rPr>
        <w:t>each</w:t>
      </w:r>
      <w:r w:rsidRPr="00A070DF">
        <w:rPr>
          <w:rStyle w:val="apple-converted-space"/>
          <w:rFonts w:ascii="Times New Roman" w:hAnsi="Times New Roman" w:cs="Times New Roman"/>
          <w:color w:val="000000"/>
          <w:sz w:val="22"/>
          <w:szCs w:val="22"/>
        </w:rPr>
        <w:t> </w:t>
      </w:r>
      <w:r w:rsidRPr="00A070DF">
        <w:rPr>
          <w:rFonts w:ascii="Times New Roman" w:hAnsi="Times New Roman" w:cs="Times New Roman"/>
          <w:color w:val="000000"/>
          <w:sz w:val="22"/>
          <w:szCs w:val="22"/>
        </w:rPr>
        <w:t>dependent variable, estimate LPs using all 3 shocks</w:t>
      </w:r>
      <w:r w:rsidRPr="00A070DF">
        <w:rPr>
          <w:rFonts w:ascii="Times New Roman" w:hAnsi="Times New Roman" w:cs="Times New Roman"/>
          <w:color w:val="000000"/>
          <w:sz w:val="22"/>
          <w:szCs w:val="22"/>
        </w:rPr>
        <w:t>):</w:t>
      </w:r>
    </w:p>
    <w:p w14:paraId="10B4DAB5" w14:textId="77777777" w:rsidR="00274D9D" w:rsidRPr="00A070DF" w:rsidRDefault="00274D9D" w:rsidP="00274D9D">
      <w:pPr>
        <w:pStyle w:val="ListParagraph"/>
        <w:numPr>
          <w:ilvl w:val="2"/>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kern w:val="0"/>
          <w:sz w:val="22"/>
          <w:szCs w:val="22"/>
          <w:lang w:eastAsia="en-GB"/>
          <w14:ligatures w14:val="none"/>
        </w:rPr>
        <w:t>2y OIS</w:t>
      </w:r>
    </w:p>
    <w:p w14:paraId="73CB826F" w14:textId="77777777" w:rsidR="00274D9D" w:rsidRPr="00A070DF" w:rsidRDefault="00274D9D" w:rsidP="00274D9D">
      <w:pPr>
        <w:pStyle w:val="ListParagraph"/>
        <w:numPr>
          <w:ilvl w:val="2"/>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kern w:val="0"/>
          <w:sz w:val="22"/>
          <w:szCs w:val="22"/>
          <w:lang w:eastAsia="en-GB"/>
          <w14:ligatures w14:val="none"/>
        </w:rPr>
        <w:t>5y GBP swap</w:t>
      </w:r>
    </w:p>
    <w:p w14:paraId="1509CFEB" w14:textId="7B25CA36" w:rsidR="00EE30B7" w:rsidRPr="00A070DF" w:rsidRDefault="00274D9D" w:rsidP="00274D9D">
      <w:pPr>
        <w:pStyle w:val="ListParagraph"/>
        <w:numPr>
          <w:ilvl w:val="2"/>
          <w:numId w:val="20"/>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kern w:val="0"/>
          <w:sz w:val="22"/>
          <w:szCs w:val="22"/>
          <w:lang w:eastAsia="en-GB"/>
          <w14:ligatures w14:val="none"/>
        </w:rPr>
        <w:t>10y gilt yield</w:t>
      </w:r>
    </w:p>
    <w:p w14:paraId="6FCF8447" w14:textId="77777777" w:rsidR="00A070DF" w:rsidRPr="00A070DF" w:rsidRDefault="00A070DF" w:rsidP="00A070DF">
      <w:pPr>
        <w:spacing w:after="0" w:line="360" w:lineRule="auto"/>
        <w:rPr>
          <w:rFonts w:ascii="Times New Roman" w:hAnsi="Times New Roman" w:cs="Times New Roman"/>
          <w:kern w:val="0"/>
          <w:sz w:val="22"/>
          <w:szCs w:val="22"/>
        </w:rPr>
      </w:pPr>
    </w:p>
    <w:p w14:paraId="7729C362" w14:textId="65A33AB7" w:rsidR="00A070DF" w:rsidRPr="00A070DF" w:rsidRDefault="00A070DF" w:rsidP="00A070DF">
      <w:pPr>
        <w:pStyle w:val="ListParagraph"/>
        <w:numPr>
          <w:ilvl w:val="0"/>
          <w:numId w:val="20"/>
        </w:numPr>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For main section and extension, run separate LPs for each of the 3 shocks then a joint specification for robustness.</w:t>
      </w:r>
    </w:p>
    <w:p w14:paraId="1254029C" w14:textId="77777777" w:rsidR="00A070DF" w:rsidRPr="00A070DF" w:rsidRDefault="00A070DF" w:rsidP="00A070DF">
      <w:pPr>
        <w:spacing w:after="0" w:line="360" w:lineRule="auto"/>
        <w:rPr>
          <w:rFonts w:ascii="Times New Roman" w:hAnsi="Times New Roman" w:cs="Times New Roman"/>
          <w:kern w:val="0"/>
          <w:sz w:val="22"/>
          <w:szCs w:val="22"/>
        </w:rPr>
      </w:pPr>
    </w:p>
    <w:p w14:paraId="1F8CC513" w14:textId="77777777" w:rsidR="00A070DF" w:rsidRPr="00A070DF" w:rsidRDefault="00A070DF" w:rsidP="00A070DF">
      <w:pPr>
        <w:spacing w:after="0" w:line="360" w:lineRule="auto"/>
        <w:rPr>
          <w:rFonts w:ascii="Times New Roman" w:hAnsi="Times New Roman" w:cs="Times New Roman"/>
          <w:kern w:val="0"/>
          <w:sz w:val="22"/>
          <w:szCs w:val="22"/>
        </w:rPr>
      </w:pPr>
    </w:p>
    <w:p w14:paraId="1DA8B05B" w14:textId="77777777" w:rsidR="00274D9D" w:rsidRPr="00A070DF" w:rsidRDefault="00274D9D" w:rsidP="00274D9D">
      <w:pPr>
        <w:spacing w:after="0" w:line="360" w:lineRule="auto"/>
        <w:rPr>
          <w:rFonts w:ascii="Times New Roman" w:hAnsi="Times New Roman" w:cs="Times New Roman"/>
          <w:kern w:val="0"/>
          <w:sz w:val="22"/>
          <w:szCs w:val="22"/>
        </w:rPr>
      </w:pPr>
    </w:p>
    <w:p w14:paraId="00D97974" w14:textId="77777777" w:rsidR="00274D9D" w:rsidRPr="00A070DF" w:rsidRDefault="00274D9D" w:rsidP="00274D9D">
      <w:pPr>
        <w:spacing w:after="0" w:line="360" w:lineRule="auto"/>
        <w:rPr>
          <w:rFonts w:ascii="Times New Roman" w:hAnsi="Times New Roman" w:cs="Times New Roman"/>
          <w:kern w:val="0"/>
          <w:sz w:val="22"/>
          <w:szCs w:val="22"/>
        </w:rPr>
      </w:pPr>
    </w:p>
    <w:p w14:paraId="5BB8E25E" w14:textId="34BC9D53" w:rsidR="00E65439" w:rsidRPr="00A070DF" w:rsidRDefault="00E65439" w:rsidP="003143C5">
      <w:pPr>
        <w:pStyle w:val="ListParagraph"/>
        <w:numPr>
          <w:ilvl w:val="0"/>
          <w:numId w:val="14"/>
        </w:numPr>
        <w:spacing w:after="0" w:line="360" w:lineRule="auto"/>
        <w:rPr>
          <w:rFonts w:ascii="Times New Roman" w:hAnsi="Times New Roman" w:cs="Times New Roman"/>
          <w:kern w:val="0"/>
          <w:sz w:val="22"/>
          <w:szCs w:val="22"/>
        </w:rPr>
      </w:pPr>
      <w:r w:rsidRPr="00A070DF">
        <w:rPr>
          <w:rFonts w:ascii="Times New Roman" w:hAnsi="Times New Roman" w:cs="Times New Roman"/>
          <w:color w:val="000000"/>
          <w:sz w:val="22"/>
          <w:szCs w:val="22"/>
        </w:rPr>
        <w:t>(ChatGPT written) We estimate dynamic impulse responses using the local projection method of Jordà (2005), which allows flexible estimation of nonlinear and asymmetric effects without imposing the dynamic restrictions of a VAR framework.</w:t>
      </w:r>
    </w:p>
    <w:p w14:paraId="2F824C0A" w14:textId="5AE32FEC" w:rsidR="003143C5" w:rsidRPr="00A070DF" w:rsidRDefault="00C33970" w:rsidP="003143C5">
      <w:pPr>
        <w:pStyle w:val="ListParagraph"/>
        <w:numPr>
          <w:ilvl w:val="0"/>
          <w:numId w:val="14"/>
        </w:numPr>
        <w:spacing w:after="0" w:line="360" w:lineRule="auto"/>
        <w:rPr>
          <w:rFonts w:ascii="Times New Roman" w:hAnsi="Times New Roman" w:cs="Times New Roman"/>
          <w:kern w:val="0"/>
          <w:sz w:val="22"/>
          <w:szCs w:val="22"/>
        </w:rPr>
      </w:pPr>
      <w:r w:rsidRPr="00A070DF">
        <w:rPr>
          <w:rFonts w:ascii="Times New Roman" w:hAnsi="Times New Roman" w:cs="Times New Roman"/>
          <w:color w:val="000000"/>
          <w:sz w:val="22"/>
          <w:szCs w:val="22"/>
        </w:rPr>
        <w:lastRenderedPageBreak/>
        <w:t>“Monetary policy shocks are identified using high-frequency movements in interest-rate markets. These shocks are then used to study the dynamic and asymmetric response of UK equity</w:t>
      </w:r>
      <w:r w:rsidR="00EE30B7" w:rsidRPr="00A070DF">
        <w:rPr>
          <w:rFonts w:ascii="Times New Roman" w:hAnsi="Times New Roman" w:cs="Times New Roman"/>
          <w:color w:val="000000"/>
          <w:sz w:val="22"/>
          <w:szCs w:val="22"/>
        </w:rPr>
        <w:t xml:space="preserve"> </w:t>
      </w:r>
      <w:r w:rsidRPr="00A070DF">
        <w:rPr>
          <w:rFonts w:ascii="Times New Roman" w:hAnsi="Times New Roman" w:cs="Times New Roman"/>
          <w:color w:val="000000"/>
          <w:sz w:val="22"/>
          <w:szCs w:val="22"/>
        </w:rPr>
        <w:t>markets.”</w:t>
      </w:r>
    </w:p>
    <w:p w14:paraId="4E535380" w14:textId="592BDC5D" w:rsidR="00EE30B7" w:rsidRPr="00A070DF" w:rsidRDefault="00EE30B7" w:rsidP="00EE30B7">
      <w:pPr>
        <w:pStyle w:val="ListParagraph"/>
        <w:numPr>
          <w:ilvl w:val="1"/>
          <w:numId w:val="14"/>
        </w:numPr>
        <w:spacing w:after="0" w:line="360" w:lineRule="auto"/>
        <w:rPr>
          <w:rFonts w:ascii="Times New Roman" w:hAnsi="Times New Roman" w:cs="Times New Roman"/>
          <w:kern w:val="0"/>
          <w:sz w:val="22"/>
          <w:szCs w:val="22"/>
        </w:rPr>
      </w:pPr>
      <w:r w:rsidRPr="00A070DF">
        <w:rPr>
          <w:rFonts w:ascii="Times New Roman" w:hAnsi="Times New Roman" w:cs="Times New Roman"/>
          <w:color w:val="000000"/>
          <w:sz w:val="22"/>
          <w:szCs w:val="22"/>
        </w:rPr>
        <w:t>Intraday shocks =&gt; daily horizon responses</w:t>
      </w:r>
    </w:p>
    <w:p w14:paraId="3F93213A" w14:textId="77777777" w:rsidR="003143C5" w:rsidRPr="00A070DF" w:rsidRDefault="003143C5" w:rsidP="003143C5">
      <w:pPr>
        <w:pStyle w:val="ListParagraph"/>
        <w:numPr>
          <w:ilvl w:val="0"/>
          <w:numId w:val="14"/>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LPs let you show:</w:t>
      </w:r>
    </w:p>
    <w:p w14:paraId="2F8FA25C" w14:textId="77777777" w:rsidR="003143C5" w:rsidRPr="00A070DF" w:rsidRDefault="003143C5" w:rsidP="003143C5">
      <w:pPr>
        <w:pStyle w:val="ListParagraph"/>
        <w:numPr>
          <w:ilvl w:val="1"/>
          <w:numId w:val="14"/>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speed of adjustment</w:t>
      </w:r>
    </w:p>
    <w:p w14:paraId="247832AB" w14:textId="77777777" w:rsidR="003143C5" w:rsidRPr="00A070DF" w:rsidRDefault="003143C5" w:rsidP="003143C5">
      <w:pPr>
        <w:pStyle w:val="ListParagraph"/>
        <w:numPr>
          <w:ilvl w:val="1"/>
          <w:numId w:val="14"/>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persistence</w:t>
      </w:r>
    </w:p>
    <w:p w14:paraId="1F677380" w14:textId="77777777" w:rsidR="003143C5" w:rsidRPr="00A070DF" w:rsidRDefault="003143C5" w:rsidP="003143C5">
      <w:pPr>
        <w:pStyle w:val="ListParagraph"/>
        <w:numPr>
          <w:ilvl w:val="1"/>
          <w:numId w:val="14"/>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overshooting</w:t>
      </w:r>
    </w:p>
    <w:p w14:paraId="357F7B57" w14:textId="77777777" w:rsidR="003143C5" w:rsidRPr="00A070DF" w:rsidRDefault="003143C5" w:rsidP="003143C5">
      <w:pPr>
        <w:pStyle w:val="ListParagraph"/>
        <w:numPr>
          <w:ilvl w:val="1"/>
          <w:numId w:val="14"/>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delayed responses</w:t>
      </w:r>
    </w:p>
    <w:p w14:paraId="3BE7F3C7" w14:textId="1423412E" w:rsidR="003143C5" w:rsidRPr="00A070DF" w:rsidRDefault="003143C5" w:rsidP="003143C5">
      <w:pPr>
        <w:pStyle w:val="ListParagraph"/>
        <w:numPr>
          <w:ilvl w:val="1"/>
          <w:numId w:val="14"/>
        </w:numPr>
        <w:spacing w:after="0" w:line="360" w:lineRule="auto"/>
        <w:rPr>
          <w:rFonts w:ascii="Times New Roman" w:hAnsi="Times New Roman" w:cs="Times New Roman"/>
          <w:kern w:val="0"/>
          <w:sz w:val="22"/>
          <w:szCs w:val="22"/>
        </w:rPr>
      </w:pPr>
      <w:r w:rsidRPr="00A070DF">
        <w:rPr>
          <w:rFonts w:ascii="Times New Roman" w:eastAsia="Times New Roman" w:hAnsi="Times New Roman" w:cs="Times New Roman"/>
          <w:color w:val="000000"/>
          <w:kern w:val="0"/>
          <w:sz w:val="22"/>
          <w:szCs w:val="22"/>
          <w:lang w:eastAsia="en-GB"/>
          <w14:ligatures w14:val="none"/>
        </w:rPr>
        <w:t>asymmetry over time</w:t>
      </w:r>
    </w:p>
    <w:p w14:paraId="7899D563" w14:textId="77777777" w:rsidR="00EE30B7" w:rsidRPr="00A070DF" w:rsidRDefault="00EE30B7" w:rsidP="00EE30B7">
      <w:pPr>
        <w:spacing w:after="0" w:line="360" w:lineRule="auto"/>
        <w:rPr>
          <w:rFonts w:ascii="Times New Roman" w:hAnsi="Times New Roman" w:cs="Times New Roman"/>
          <w:kern w:val="0"/>
          <w:sz w:val="22"/>
          <w:szCs w:val="22"/>
        </w:rPr>
      </w:pPr>
    </w:p>
    <w:p w14:paraId="33109A35" w14:textId="77777777" w:rsidR="003143C5" w:rsidRPr="00A070DF" w:rsidRDefault="003143C5" w:rsidP="003143C5">
      <w:pPr>
        <w:spacing w:after="0" w:line="360" w:lineRule="auto"/>
        <w:rPr>
          <w:rFonts w:ascii="Times New Roman" w:hAnsi="Times New Roman" w:cs="Times New Roman"/>
          <w:kern w:val="0"/>
          <w:sz w:val="22"/>
          <w:szCs w:val="22"/>
        </w:rPr>
      </w:pPr>
    </w:p>
    <w:p w14:paraId="4E29AFCF" w14:textId="77777777" w:rsidR="002159F0" w:rsidRPr="00A070DF" w:rsidRDefault="002159F0" w:rsidP="003143C5">
      <w:pPr>
        <w:autoSpaceDE w:val="0"/>
        <w:autoSpaceDN w:val="0"/>
        <w:adjustRightInd w:val="0"/>
        <w:spacing w:after="0" w:line="360" w:lineRule="auto"/>
        <w:rPr>
          <w:rFonts w:ascii="Times New Roman" w:hAnsi="Times New Roman" w:cs="Times New Roman"/>
          <w:kern w:val="0"/>
          <w:sz w:val="22"/>
          <w:szCs w:val="22"/>
        </w:rPr>
      </w:pPr>
    </w:p>
    <w:p w14:paraId="6C25827E" w14:textId="77777777" w:rsidR="00274D9D" w:rsidRPr="00A070DF" w:rsidRDefault="00274D9D">
      <w:pPr>
        <w:rPr>
          <w:rFonts w:ascii="Times New Roman" w:hAnsi="Times New Roman" w:cs="Times New Roman"/>
          <w:kern w:val="0"/>
          <w:sz w:val="22"/>
          <w:szCs w:val="22"/>
        </w:rPr>
      </w:pPr>
      <w:r w:rsidRPr="00A070DF">
        <w:rPr>
          <w:rFonts w:ascii="Times New Roman" w:hAnsi="Times New Roman" w:cs="Times New Roman"/>
          <w:kern w:val="0"/>
          <w:sz w:val="22"/>
          <w:szCs w:val="22"/>
        </w:rPr>
        <w:br w:type="page"/>
      </w:r>
    </w:p>
    <w:p w14:paraId="00F40434" w14:textId="321509CB" w:rsidR="002A20D3" w:rsidRPr="00A070DF" w:rsidRDefault="002159F0" w:rsidP="003143C5">
      <w:pPr>
        <w:autoSpaceDE w:val="0"/>
        <w:autoSpaceDN w:val="0"/>
        <w:adjustRightInd w:val="0"/>
        <w:spacing w:after="0" w:line="360" w:lineRule="auto"/>
        <w:rPr>
          <w:rFonts w:ascii="Times New Roman" w:hAnsi="Times New Roman" w:cs="Times New Roman"/>
          <w:b/>
          <w:bCs/>
          <w:kern w:val="0"/>
        </w:rPr>
      </w:pPr>
      <w:r w:rsidRPr="00A070DF">
        <w:rPr>
          <w:rFonts w:ascii="Times New Roman" w:hAnsi="Times New Roman" w:cs="Times New Roman"/>
          <w:b/>
          <w:bCs/>
          <w:kern w:val="0"/>
        </w:rPr>
        <w:lastRenderedPageBreak/>
        <w:t>Results</w:t>
      </w:r>
    </w:p>
    <w:p w14:paraId="69698967" w14:textId="16737A34" w:rsidR="00EE30B7" w:rsidRPr="00A070DF" w:rsidRDefault="00EE30B7" w:rsidP="003143C5">
      <w:p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noProof/>
          <w:kern w:val="0"/>
          <w:sz w:val="22"/>
          <w:szCs w:val="22"/>
        </w:rPr>
        <w:drawing>
          <wp:inline distT="0" distB="0" distL="0" distR="0" wp14:anchorId="6723E831" wp14:editId="3284D3C1">
            <wp:extent cx="4768770" cy="2413426"/>
            <wp:effectExtent l="0" t="0" r="0" b="0"/>
            <wp:docPr id="14028153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15381" name="Picture 140281538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78400" cy="2418300"/>
                    </a:xfrm>
                    <a:prstGeom prst="rect">
                      <a:avLst/>
                    </a:prstGeom>
                  </pic:spPr>
                </pic:pic>
              </a:graphicData>
            </a:graphic>
          </wp:inline>
        </w:drawing>
      </w:r>
    </w:p>
    <w:p w14:paraId="11AEFD29" w14:textId="1E86F7EF" w:rsidR="00EE30B7" w:rsidRPr="00A070DF" w:rsidRDefault="000576F0" w:rsidP="003143C5">
      <w:p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noProof/>
          <w:kern w:val="0"/>
          <w:sz w:val="22"/>
          <w:szCs w:val="22"/>
        </w:rPr>
        <w:drawing>
          <wp:inline distT="0" distB="0" distL="0" distR="0" wp14:anchorId="3AE2436C" wp14:editId="3A56E465">
            <wp:extent cx="4731840" cy="2997843"/>
            <wp:effectExtent l="0" t="0" r="5715" b="0"/>
            <wp:docPr id="13729409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40911" name="Picture 137294091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39590" cy="3002753"/>
                    </a:xfrm>
                    <a:prstGeom prst="rect">
                      <a:avLst/>
                    </a:prstGeom>
                  </pic:spPr>
                </pic:pic>
              </a:graphicData>
            </a:graphic>
          </wp:inline>
        </w:drawing>
      </w:r>
    </w:p>
    <w:p w14:paraId="0BC52322" w14:textId="77777777" w:rsidR="00EE30B7" w:rsidRPr="00A070DF" w:rsidRDefault="00EE30B7" w:rsidP="003143C5">
      <w:pPr>
        <w:autoSpaceDE w:val="0"/>
        <w:autoSpaceDN w:val="0"/>
        <w:adjustRightInd w:val="0"/>
        <w:spacing w:after="0" w:line="360" w:lineRule="auto"/>
        <w:rPr>
          <w:rFonts w:ascii="Times New Roman" w:hAnsi="Times New Roman" w:cs="Times New Roman"/>
          <w:kern w:val="0"/>
          <w:sz w:val="22"/>
          <w:szCs w:val="22"/>
        </w:rPr>
      </w:pPr>
    </w:p>
    <w:p w14:paraId="7A4DD1B8" w14:textId="77777777" w:rsidR="00EE30B7" w:rsidRPr="00A070DF" w:rsidRDefault="00EE30B7" w:rsidP="003143C5">
      <w:pPr>
        <w:autoSpaceDE w:val="0"/>
        <w:autoSpaceDN w:val="0"/>
        <w:adjustRightInd w:val="0"/>
        <w:spacing w:after="0" w:line="360" w:lineRule="auto"/>
        <w:rPr>
          <w:rFonts w:ascii="Times New Roman" w:hAnsi="Times New Roman" w:cs="Times New Roman"/>
          <w:kern w:val="0"/>
          <w:sz w:val="22"/>
          <w:szCs w:val="22"/>
        </w:rPr>
      </w:pPr>
    </w:p>
    <w:p w14:paraId="3DAAAA9D" w14:textId="486ADEAE" w:rsidR="002159F0" w:rsidRPr="00A070DF" w:rsidRDefault="00305C4B" w:rsidP="003143C5">
      <w:pPr>
        <w:pStyle w:val="ListParagraph"/>
        <w:numPr>
          <w:ilvl w:val="0"/>
          <w:numId w:val="12"/>
        </w:num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 xml:space="preserve">Inflation expectations </w:t>
      </w:r>
    </w:p>
    <w:p w14:paraId="20754ECC" w14:textId="07DEFC92" w:rsidR="00EE30B7" w:rsidRPr="00A070DF" w:rsidRDefault="00EE30B7" w:rsidP="00EE30B7">
      <w:pPr>
        <w:autoSpaceDE w:val="0"/>
        <w:autoSpaceDN w:val="0"/>
        <w:adjustRightInd w:val="0"/>
        <w:spacing w:after="0" w:line="360" w:lineRule="auto"/>
        <w:rPr>
          <w:rFonts w:ascii="Times New Roman" w:hAnsi="Times New Roman" w:cs="Times New Roman"/>
          <w:kern w:val="0"/>
          <w:sz w:val="22"/>
          <w:szCs w:val="22"/>
        </w:rPr>
      </w:pPr>
    </w:p>
    <w:p w14:paraId="1B0D60BE" w14:textId="77777777" w:rsidR="002159F0" w:rsidRPr="00A070DF" w:rsidRDefault="002159F0" w:rsidP="003143C5">
      <w:pPr>
        <w:autoSpaceDE w:val="0"/>
        <w:autoSpaceDN w:val="0"/>
        <w:adjustRightInd w:val="0"/>
        <w:spacing w:after="0" w:line="360" w:lineRule="auto"/>
        <w:rPr>
          <w:rFonts w:ascii="Times New Roman" w:hAnsi="Times New Roman" w:cs="Times New Roman"/>
          <w:kern w:val="0"/>
          <w:sz w:val="22"/>
          <w:szCs w:val="22"/>
        </w:rPr>
      </w:pPr>
    </w:p>
    <w:p w14:paraId="56A67203" w14:textId="77777777" w:rsidR="002159F0" w:rsidRPr="00A070DF" w:rsidRDefault="002159F0" w:rsidP="003143C5">
      <w:pPr>
        <w:autoSpaceDE w:val="0"/>
        <w:autoSpaceDN w:val="0"/>
        <w:adjustRightInd w:val="0"/>
        <w:spacing w:after="0" w:line="360" w:lineRule="auto"/>
        <w:rPr>
          <w:rFonts w:ascii="Times New Roman" w:hAnsi="Times New Roman" w:cs="Times New Roman"/>
          <w:kern w:val="0"/>
          <w:sz w:val="22"/>
          <w:szCs w:val="22"/>
        </w:rPr>
      </w:pPr>
    </w:p>
    <w:p w14:paraId="3C77FBB2" w14:textId="77777777" w:rsidR="005F3FF6" w:rsidRDefault="005F3FF6">
      <w:pPr>
        <w:rPr>
          <w:rFonts w:ascii="Times New Roman" w:hAnsi="Times New Roman" w:cs="Times New Roman"/>
          <w:kern w:val="0"/>
          <w:sz w:val="22"/>
          <w:szCs w:val="22"/>
        </w:rPr>
      </w:pPr>
      <w:r>
        <w:rPr>
          <w:rFonts w:ascii="Times New Roman" w:hAnsi="Times New Roman" w:cs="Times New Roman"/>
          <w:kern w:val="0"/>
          <w:sz w:val="22"/>
          <w:szCs w:val="22"/>
        </w:rPr>
        <w:br w:type="page"/>
      </w:r>
    </w:p>
    <w:p w14:paraId="47AD45CC" w14:textId="076EB08E" w:rsidR="00A14A43" w:rsidRPr="00A070DF" w:rsidRDefault="00A14A43" w:rsidP="003143C5">
      <w:p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lastRenderedPageBreak/>
        <w:t>GitHub</w:t>
      </w:r>
    </w:p>
    <w:p w14:paraId="192F0AEB" w14:textId="77777777" w:rsidR="00353BC5" w:rsidRPr="00A070DF" w:rsidRDefault="00353BC5" w:rsidP="0021032C">
      <w:pPr>
        <w:autoSpaceDE w:val="0"/>
        <w:autoSpaceDN w:val="0"/>
        <w:adjustRightInd w:val="0"/>
        <w:spacing w:after="0" w:line="360" w:lineRule="auto"/>
        <w:rPr>
          <w:rFonts w:ascii="Times New Roman" w:hAnsi="Times New Roman" w:cs="Times New Roman"/>
          <w:kern w:val="0"/>
          <w:sz w:val="22"/>
          <w:szCs w:val="22"/>
        </w:rPr>
      </w:pPr>
    </w:p>
    <w:p w14:paraId="4BA60EBF" w14:textId="6881AEB0" w:rsidR="00B806DD" w:rsidRPr="00A070DF" w:rsidRDefault="00B806DD" w:rsidP="0021032C">
      <w:pPr>
        <w:pStyle w:val="ListParagraph"/>
        <w:numPr>
          <w:ilvl w:val="0"/>
          <w:numId w:val="3"/>
        </w:num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Target: changes in target that weren’t expected</w:t>
      </w:r>
    </w:p>
    <w:p w14:paraId="22143A61" w14:textId="7E9160B0" w:rsidR="00B806DD" w:rsidRPr="00A070DF" w:rsidRDefault="00B806DD" w:rsidP="0021032C">
      <w:pPr>
        <w:pStyle w:val="ListParagraph"/>
        <w:numPr>
          <w:ilvl w:val="0"/>
          <w:numId w:val="3"/>
        </w:num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 xml:space="preserve">Path Surprises in forward guidance </w:t>
      </w:r>
    </w:p>
    <w:p w14:paraId="38614351" w14:textId="24A5BE12" w:rsidR="00B806DD" w:rsidRPr="00A070DF" w:rsidRDefault="00B806DD" w:rsidP="0021032C">
      <w:pPr>
        <w:pStyle w:val="ListParagraph"/>
        <w:numPr>
          <w:ilvl w:val="0"/>
          <w:numId w:val="3"/>
        </w:num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 xml:space="preserve">QE surprises </w:t>
      </w:r>
    </w:p>
    <w:p w14:paraId="066057B7" w14:textId="77777777" w:rsidR="00B806DD" w:rsidRPr="00A070DF" w:rsidRDefault="00B806DD" w:rsidP="0021032C">
      <w:pPr>
        <w:autoSpaceDE w:val="0"/>
        <w:autoSpaceDN w:val="0"/>
        <w:adjustRightInd w:val="0"/>
        <w:spacing w:after="0" w:line="360" w:lineRule="auto"/>
        <w:rPr>
          <w:rFonts w:ascii="Times New Roman" w:hAnsi="Times New Roman" w:cs="Times New Roman"/>
          <w:kern w:val="0"/>
          <w:sz w:val="22"/>
          <w:szCs w:val="22"/>
        </w:rPr>
      </w:pPr>
    </w:p>
    <w:p w14:paraId="3911C06D" w14:textId="77777777" w:rsidR="00B806DD" w:rsidRPr="00A070DF" w:rsidRDefault="00B806DD" w:rsidP="0021032C">
      <w:p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Difference between QE and target</w:t>
      </w:r>
    </w:p>
    <w:p w14:paraId="790FF13B" w14:textId="77777777" w:rsidR="00B806DD" w:rsidRPr="00A070DF" w:rsidRDefault="00B806DD" w:rsidP="0021032C">
      <w:pPr>
        <w:autoSpaceDE w:val="0"/>
        <w:autoSpaceDN w:val="0"/>
        <w:adjustRightInd w:val="0"/>
        <w:spacing w:after="0" w:line="360" w:lineRule="auto"/>
        <w:rPr>
          <w:rFonts w:ascii="Times New Roman" w:hAnsi="Times New Roman" w:cs="Times New Roman"/>
          <w:kern w:val="0"/>
          <w:sz w:val="22"/>
          <w:szCs w:val="22"/>
        </w:rPr>
      </w:pPr>
    </w:p>
    <w:p w14:paraId="73A66A41" w14:textId="77777777" w:rsidR="00B806DD" w:rsidRPr="00A070DF" w:rsidRDefault="00B806DD" w:rsidP="0021032C">
      <w:p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Which month had a big shock and why?</w:t>
      </w:r>
    </w:p>
    <w:p w14:paraId="393E73C6" w14:textId="77777777" w:rsidR="00B806DD" w:rsidRPr="00A070DF" w:rsidRDefault="00B806DD" w:rsidP="0021032C">
      <w:pPr>
        <w:autoSpaceDE w:val="0"/>
        <w:autoSpaceDN w:val="0"/>
        <w:adjustRightInd w:val="0"/>
        <w:spacing w:after="0" w:line="360" w:lineRule="auto"/>
        <w:rPr>
          <w:rFonts w:ascii="Times New Roman" w:hAnsi="Times New Roman" w:cs="Times New Roman"/>
          <w:kern w:val="0"/>
          <w:sz w:val="22"/>
          <w:szCs w:val="22"/>
        </w:rPr>
      </w:pPr>
    </w:p>
    <w:p w14:paraId="32711D8D" w14:textId="77777777" w:rsidR="00B73492" w:rsidRPr="00A070DF" w:rsidRDefault="00B73492" w:rsidP="0021032C">
      <w:pPr>
        <w:autoSpaceDE w:val="0"/>
        <w:autoSpaceDN w:val="0"/>
        <w:adjustRightInd w:val="0"/>
        <w:spacing w:after="0" w:line="360" w:lineRule="auto"/>
        <w:rPr>
          <w:rFonts w:ascii="Times New Roman" w:hAnsi="Times New Roman" w:cs="Times New Roman"/>
          <w:kern w:val="0"/>
          <w:sz w:val="22"/>
          <w:szCs w:val="22"/>
        </w:rPr>
      </w:pPr>
    </w:p>
    <w:p w14:paraId="13CE5FEF" w14:textId="77777777" w:rsidR="008478C0" w:rsidRPr="00A070DF" w:rsidRDefault="008478C0" w:rsidP="0021032C">
      <w:pPr>
        <w:autoSpaceDE w:val="0"/>
        <w:autoSpaceDN w:val="0"/>
        <w:adjustRightInd w:val="0"/>
        <w:spacing w:after="0" w:line="360" w:lineRule="auto"/>
        <w:rPr>
          <w:rFonts w:ascii="Times New Roman" w:hAnsi="Times New Roman" w:cs="Times New Roman"/>
          <w:kern w:val="0"/>
          <w:sz w:val="22"/>
          <w:szCs w:val="22"/>
        </w:rPr>
      </w:pPr>
    </w:p>
    <w:p w14:paraId="3593426C" w14:textId="77777777" w:rsidR="008478C0" w:rsidRPr="00A070DF" w:rsidRDefault="008478C0" w:rsidP="0021032C">
      <w:pPr>
        <w:spacing w:after="0" w:line="360" w:lineRule="auto"/>
        <w:rPr>
          <w:rFonts w:ascii="Times New Roman" w:eastAsia="Times New Roman" w:hAnsi="Times New Roman" w:cs="Times New Roman"/>
          <w:color w:val="000000"/>
          <w:kern w:val="0"/>
          <w:sz w:val="22"/>
          <w:szCs w:val="22"/>
          <w:lang w:eastAsia="en-GB"/>
          <w14:ligatures w14:val="none"/>
        </w:rPr>
      </w:pPr>
      <w:r w:rsidRPr="00A070DF">
        <w:rPr>
          <w:rFonts w:ascii="Times New Roman" w:eastAsia="Times New Roman" w:hAnsi="Times New Roman" w:cs="Times New Roman"/>
          <w:color w:val="000000"/>
          <w:kern w:val="0"/>
          <w:sz w:val="22"/>
          <w:szCs w:val="22"/>
          <w:lang w:eastAsia="en-GB"/>
          <w14:ligatures w14:val="none"/>
        </w:rPr>
        <w:br w:type="page"/>
      </w:r>
    </w:p>
    <w:p w14:paraId="6D3DE487" w14:textId="729E14DC" w:rsidR="008478C0" w:rsidRPr="00A070DF" w:rsidRDefault="008478C0" w:rsidP="0021032C">
      <w:pPr>
        <w:spacing w:after="0" w:line="360" w:lineRule="auto"/>
        <w:rPr>
          <w:rFonts w:ascii="Times New Roman" w:eastAsia="Times New Roman" w:hAnsi="Times New Roman" w:cs="Times New Roman"/>
          <w:color w:val="000000"/>
          <w:kern w:val="0"/>
          <w:sz w:val="22"/>
          <w:szCs w:val="22"/>
          <w:u w:val="single"/>
          <w:lang w:eastAsia="en-GB"/>
          <w14:ligatures w14:val="none"/>
        </w:rPr>
      </w:pPr>
      <w:r w:rsidRPr="00A070DF">
        <w:rPr>
          <w:rFonts w:ascii="Times New Roman" w:eastAsia="Times New Roman" w:hAnsi="Times New Roman" w:cs="Times New Roman"/>
          <w:color w:val="000000"/>
          <w:kern w:val="0"/>
          <w:sz w:val="22"/>
          <w:szCs w:val="22"/>
          <w:u w:val="single"/>
          <w:lang w:eastAsia="en-GB"/>
          <w14:ligatures w14:val="none"/>
        </w:rPr>
        <w:lastRenderedPageBreak/>
        <w:t>2.1 The Bank of England’s Policy Cycle and Communication Schedule</w:t>
      </w:r>
    </w:p>
    <w:p w14:paraId="782E75A5" w14:textId="77777777" w:rsidR="008478C0" w:rsidRPr="00A070DF" w:rsidRDefault="008478C0" w:rsidP="0021032C">
      <w:pPr>
        <w:autoSpaceDE w:val="0"/>
        <w:autoSpaceDN w:val="0"/>
        <w:adjustRightInd w:val="0"/>
        <w:spacing w:after="0" w:line="360" w:lineRule="auto"/>
        <w:rPr>
          <w:rFonts w:ascii="Times New Roman" w:hAnsi="Times New Roman" w:cs="Times New Roman"/>
          <w:kern w:val="0"/>
          <w:sz w:val="22"/>
          <w:szCs w:val="22"/>
        </w:rPr>
      </w:pPr>
    </w:p>
    <w:p w14:paraId="4805CFDB" w14:textId="3646F7CB" w:rsidR="00B73492" w:rsidRPr="00A070DF" w:rsidRDefault="00B73492" w:rsidP="0021032C">
      <w:p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BoE dual mandate like FED or no? ECB just cares about inflation since Lagarde</w:t>
      </w:r>
    </w:p>
    <w:p w14:paraId="1C405775" w14:textId="520F51FE" w:rsidR="002A20D3" w:rsidRPr="00A070DF" w:rsidRDefault="002A20D3" w:rsidP="0021032C">
      <w:pPr>
        <w:pStyle w:val="p1"/>
        <w:spacing w:line="360" w:lineRule="auto"/>
        <w:rPr>
          <w:rFonts w:ascii="Times New Roman" w:hAnsi="Times New Roman"/>
          <w:sz w:val="22"/>
          <w:szCs w:val="22"/>
        </w:rPr>
      </w:pPr>
      <w:r w:rsidRPr="00A070DF">
        <w:rPr>
          <w:rFonts w:ascii="Times New Roman" w:hAnsi="Times New Roman"/>
          <w:sz w:val="22"/>
          <w:szCs w:val="22"/>
        </w:rPr>
        <w:t>In recent years, MPC sets Bank Rate level as sole or primary instrument. Forward guidance introduced explicitly in 2013 but always been there (“monetary policy has now reached a position at which it should be possible to pause in order to assess the direction in which the risks are likely to materialise”, August 1997 committee communication)</w:t>
      </w:r>
    </w:p>
    <w:p w14:paraId="0A40E8DC" w14:textId="6B67DFE5" w:rsidR="002A20D3" w:rsidRPr="00A070DF" w:rsidRDefault="002A20D3" w:rsidP="0021032C">
      <w:pPr>
        <w:autoSpaceDE w:val="0"/>
        <w:autoSpaceDN w:val="0"/>
        <w:adjustRightInd w:val="0"/>
        <w:spacing w:after="0" w:line="360" w:lineRule="auto"/>
        <w:rPr>
          <w:rFonts w:ascii="Times New Roman" w:hAnsi="Times New Roman" w:cs="Times New Roman"/>
          <w:kern w:val="0"/>
          <w:sz w:val="22"/>
          <w:szCs w:val="22"/>
        </w:rPr>
      </w:pPr>
    </w:p>
    <w:p w14:paraId="33D0E5A2" w14:textId="77777777" w:rsidR="00B73492" w:rsidRPr="00A070DF" w:rsidRDefault="00B73492" w:rsidP="0021032C">
      <w:pPr>
        <w:autoSpaceDE w:val="0"/>
        <w:autoSpaceDN w:val="0"/>
        <w:adjustRightInd w:val="0"/>
        <w:spacing w:after="0" w:line="360" w:lineRule="auto"/>
        <w:rPr>
          <w:rFonts w:ascii="Times New Roman" w:hAnsi="Times New Roman" w:cs="Times New Roman"/>
          <w:kern w:val="0"/>
          <w:sz w:val="22"/>
          <w:szCs w:val="22"/>
        </w:rPr>
      </w:pPr>
    </w:p>
    <w:p w14:paraId="1EAE6ECE" w14:textId="6F6A6AA8" w:rsidR="003A45C0" w:rsidRPr="00A070DF" w:rsidRDefault="003A45C0" w:rsidP="0021032C">
      <w:pPr>
        <w:pStyle w:val="p1"/>
        <w:spacing w:line="360" w:lineRule="auto"/>
        <w:rPr>
          <w:rFonts w:ascii="Times New Roman" w:hAnsi="Times New Roman"/>
          <w:sz w:val="22"/>
          <w:szCs w:val="22"/>
        </w:rPr>
      </w:pPr>
      <w:r w:rsidRPr="00A070DF">
        <w:rPr>
          <w:rFonts w:ascii="Times New Roman" w:hAnsi="Times New Roman"/>
          <w:sz w:val="22"/>
          <w:szCs w:val="22"/>
        </w:rPr>
        <w:t xml:space="preserve">conventional monetary policy shocks that operate primarily via changes in the level of the policy rate </w:t>
      </w:r>
      <w:r w:rsidR="00A813E0" w:rsidRPr="00A070DF">
        <w:rPr>
          <w:rFonts w:ascii="Times New Roman" w:hAnsi="Times New Roman"/>
          <w:sz w:val="22"/>
          <w:szCs w:val="22"/>
        </w:rPr>
        <w:t>(</w:t>
      </w:r>
      <w:r w:rsidRPr="00A070DF">
        <w:rPr>
          <w:rFonts w:ascii="Times New Roman" w:hAnsi="Times New Roman"/>
          <w:sz w:val="22"/>
          <w:szCs w:val="22"/>
        </w:rPr>
        <w:t>Bank Rate</w:t>
      </w:r>
      <w:r w:rsidR="00A813E0" w:rsidRPr="00A070DF">
        <w:rPr>
          <w:rFonts w:ascii="Times New Roman" w:hAnsi="Times New Roman"/>
          <w:sz w:val="22"/>
          <w:szCs w:val="22"/>
        </w:rPr>
        <w:t xml:space="preserve">) </w:t>
      </w:r>
      <w:r w:rsidRPr="00A070DF">
        <w:rPr>
          <w:rFonts w:ascii="Times New Roman" w:hAnsi="Times New Roman"/>
          <w:sz w:val="22"/>
          <w:szCs w:val="22"/>
        </w:rPr>
        <w:t>of the Monetary Policy Committee’s (MPC) communication about</w:t>
      </w:r>
      <w:r w:rsidR="00A813E0" w:rsidRPr="00A070DF">
        <w:rPr>
          <w:rFonts w:ascii="Times New Roman" w:hAnsi="Times New Roman"/>
          <w:sz w:val="22"/>
          <w:szCs w:val="22"/>
        </w:rPr>
        <w:t xml:space="preserve"> </w:t>
      </w:r>
      <w:r w:rsidRPr="00A070DF">
        <w:rPr>
          <w:rFonts w:ascii="Times New Roman" w:hAnsi="Times New Roman"/>
          <w:sz w:val="22"/>
          <w:szCs w:val="22"/>
        </w:rPr>
        <w:t>the future path of policy, and of QE announcements.</w:t>
      </w:r>
    </w:p>
    <w:p w14:paraId="05386113" w14:textId="77777777" w:rsidR="00F31FDC" w:rsidRPr="00A070DF" w:rsidRDefault="00F31FDC" w:rsidP="0021032C">
      <w:pPr>
        <w:autoSpaceDE w:val="0"/>
        <w:autoSpaceDN w:val="0"/>
        <w:adjustRightInd w:val="0"/>
        <w:spacing w:after="0" w:line="360" w:lineRule="auto"/>
        <w:rPr>
          <w:rFonts w:ascii="Times New Roman" w:hAnsi="Times New Roman" w:cs="Times New Roman"/>
          <w:kern w:val="0"/>
          <w:sz w:val="22"/>
          <w:szCs w:val="22"/>
        </w:rPr>
      </w:pPr>
    </w:p>
    <w:p w14:paraId="572AF73F" w14:textId="77777777" w:rsidR="00F31FDC" w:rsidRPr="00A070DF" w:rsidRDefault="00F31FDC" w:rsidP="0021032C">
      <w:pPr>
        <w:autoSpaceDE w:val="0"/>
        <w:autoSpaceDN w:val="0"/>
        <w:adjustRightInd w:val="0"/>
        <w:spacing w:after="0" w:line="360" w:lineRule="auto"/>
        <w:rPr>
          <w:rFonts w:ascii="Times New Roman" w:hAnsi="Times New Roman" w:cs="Times New Roman"/>
          <w:kern w:val="0"/>
          <w:sz w:val="22"/>
          <w:szCs w:val="22"/>
        </w:rPr>
      </w:pPr>
    </w:p>
    <w:p w14:paraId="68DD687D" w14:textId="31EAA739" w:rsidR="00F31FDC" w:rsidRPr="00A070DF" w:rsidRDefault="00F31FDC" w:rsidP="0021032C">
      <w:pPr>
        <w:pStyle w:val="p1"/>
        <w:spacing w:line="360" w:lineRule="auto"/>
        <w:rPr>
          <w:rFonts w:ascii="Times New Roman" w:hAnsi="Times New Roman"/>
          <w:sz w:val="22"/>
          <w:szCs w:val="22"/>
        </w:rPr>
      </w:pPr>
      <w:r w:rsidRPr="00A070DF">
        <w:rPr>
          <w:rFonts w:ascii="Times New Roman" w:hAnsi="Times New Roman"/>
          <w:sz w:val="22"/>
          <w:szCs w:val="22"/>
        </w:rPr>
        <w:t>Bank Rate shocks tend to move shorter maturity interest rates the most, while communication and QE announcements have larger eﬀects at longer maturities.</w:t>
      </w:r>
    </w:p>
    <w:p w14:paraId="3220F015" w14:textId="77777777" w:rsidR="00F31FDC" w:rsidRPr="00A070DF" w:rsidRDefault="00F31FDC" w:rsidP="0021032C">
      <w:pPr>
        <w:autoSpaceDE w:val="0"/>
        <w:autoSpaceDN w:val="0"/>
        <w:adjustRightInd w:val="0"/>
        <w:spacing w:after="0" w:line="360" w:lineRule="auto"/>
        <w:rPr>
          <w:rFonts w:ascii="Times New Roman" w:hAnsi="Times New Roman" w:cs="Times New Roman"/>
          <w:kern w:val="0"/>
          <w:sz w:val="22"/>
          <w:szCs w:val="22"/>
        </w:rPr>
      </w:pPr>
    </w:p>
    <w:p w14:paraId="3727D0F0" w14:textId="1A4C61A1" w:rsidR="003A45C0" w:rsidRPr="00A070DF" w:rsidRDefault="003A45C0" w:rsidP="0021032C">
      <w:p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MPC announcements (which will capture Inflation Report (IR) / Monetary Policy Report (MPR) announcements in the post-2015 sample) and press conferences (which will capture IR/MPR announcements in the pre-2015 sample</w:t>
      </w:r>
    </w:p>
    <w:p w14:paraId="2956ED2F" w14:textId="77777777" w:rsidR="000A55C3" w:rsidRPr="00A070DF" w:rsidRDefault="000A55C3" w:rsidP="0021032C">
      <w:pPr>
        <w:autoSpaceDE w:val="0"/>
        <w:autoSpaceDN w:val="0"/>
        <w:adjustRightInd w:val="0"/>
        <w:spacing w:after="0" w:line="360" w:lineRule="auto"/>
        <w:rPr>
          <w:rFonts w:ascii="Times New Roman" w:hAnsi="Times New Roman" w:cs="Times New Roman"/>
          <w:kern w:val="0"/>
          <w:sz w:val="22"/>
          <w:szCs w:val="22"/>
        </w:rPr>
      </w:pPr>
    </w:p>
    <w:p w14:paraId="5BEB5CA5" w14:textId="58F1C11D" w:rsidR="000A55C3" w:rsidRPr="00A070DF" w:rsidRDefault="000A55C3" w:rsidP="0021032C">
      <w:pPr>
        <w:pStyle w:val="p1"/>
        <w:spacing w:line="360" w:lineRule="auto"/>
        <w:rPr>
          <w:rFonts w:ascii="Times New Roman" w:hAnsi="Times New Roman"/>
          <w:sz w:val="22"/>
          <w:szCs w:val="22"/>
        </w:rPr>
      </w:pPr>
      <w:r w:rsidRPr="00A070DF">
        <w:rPr>
          <w:rFonts w:ascii="Times New Roman" w:hAnsi="Times New Roman"/>
          <w:sz w:val="22"/>
          <w:szCs w:val="22"/>
        </w:rPr>
        <w:t>markets extract tightening news about the possible future path of policy when a subset of MPC members votes in favour of a higher Bank Rate.</w:t>
      </w:r>
    </w:p>
    <w:p w14:paraId="5203819E" w14:textId="77777777" w:rsidR="000A55C3" w:rsidRPr="00A070DF" w:rsidRDefault="000A55C3" w:rsidP="0021032C">
      <w:pPr>
        <w:autoSpaceDE w:val="0"/>
        <w:autoSpaceDN w:val="0"/>
        <w:adjustRightInd w:val="0"/>
        <w:spacing w:after="0" w:line="360" w:lineRule="auto"/>
        <w:rPr>
          <w:rFonts w:ascii="Times New Roman" w:hAnsi="Times New Roman" w:cs="Times New Roman"/>
          <w:kern w:val="0"/>
          <w:sz w:val="22"/>
          <w:szCs w:val="22"/>
        </w:rPr>
      </w:pPr>
    </w:p>
    <w:p w14:paraId="51FE4351" w14:textId="2E070FFB" w:rsidR="000A55C3" w:rsidRPr="00A070DF" w:rsidRDefault="000A55C3" w:rsidP="0021032C">
      <w:pPr>
        <w:pStyle w:val="p1"/>
        <w:spacing w:line="360" w:lineRule="auto"/>
        <w:rPr>
          <w:rFonts w:ascii="Times New Roman" w:hAnsi="Times New Roman"/>
          <w:sz w:val="22"/>
          <w:szCs w:val="22"/>
        </w:rPr>
      </w:pPr>
      <w:r w:rsidRPr="00A070DF">
        <w:rPr>
          <w:rFonts w:ascii="Times New Roman" w:hAnsi="Times New Roman"/>
          <w:sz w:val="22"/>
          <w:szCs w:val="22"/>
        </w:rPr>
        <w:t>The main monetary policy publication, at the time called the Inflation Report (IR), followed a quarterly publication schedule and was typically published two weeks after the Bank Rate decision of the same month. The press release that followed the publication of the IR oﬀered a chance for the MPC to share insights into the rationale for the decisions, and to discuss the prevailing judgements that concurred to inform their view of the UK macroeconomic outlook. Starting from August 2015, MPC meetings and policy decisions have been moved to a six-week cycle and, once every quarter, the monetary policy decisions are released together with the publication of the Monetary Policy Report, and of the meeting’s minutes. A press conference then follows on the same day.</w:t>
      </w:r>
    </w:p>
    <w:p w14:paraId="504FEDCF" w14:textId="77777777" w:rsidR="000A55C3" w:rsidRPr="00A070DF" w:rsidRDefault="000A55C3" w:rsidP="0021032C">
      <w:pPr>
        <w:autoSpaceDE w:val="0"/>
        <w:autoSpaceDN w:val="0"/>
        <w:adjustRightInd w:val="0"/>
        <w:spacing w:after="0" w:line="360" w:lineRule="auto"/>
        <w:rPr>
          <w:rFonts w:ascii="Times New Roman" w:hAnsi="Times New Roman" w:cs="Times New Roman"/>
          <w:kern w:val="0"/>
          <w:sz w:val="22"/>
          <w:szCs w:val="22"/>
        </w:rPr>
      </w:pPr>
    </w:p>
    <w:p w14:paraId="721FFDE7" w14:textId="49779751" w:rsidR="009C2D3D" w:rsidRPr="00A070DF" w:rsidRDefault="009C2D3D" w:rsidP="0021032C">
      <w:pPr>
        <w:pStyle w:val="p1"/>
        <w:spacing w:line="360" w:lineRule="auto"/>
        <w:rPr>
          <w:rFonts w:ascii="Times New Roman" w:hAnsi="Times New Roman"/>
          <w:sz w:val="22"/>
          <w:szCs w:val="22"/>
        </w:rPr>
      </w:pPr>
      <w:r w:rsidRPr="00A070DF">
        <w:rPr>
          <w:rFonts w:ascii="Times New Roman" w:hAnsi="Times New Roman"/>
          <w:sz w:val="22"/>
          <w:szCs w:val="22"/>
        </w:rPr>
        <w:lastRenderedPageBreak/>
        <w:t xml:space="preserve">A one-oﬀ Bank Rate increase leads to a rise in corporate spreads and sudden repricing in the stock market. Output exhibits a more sluggish response, and contracts over the subsequent year. The inflation response is </w:t>
      </w:r>
      <w:proofErr w:type="gramStart"/>
      <w:r w:rsidRPr="00A070DF">
        <w:rPr>
          <w:rFonts w:ascii="Times New Roman" w:hAnsi="Times New Roman"/>
          <w:sz w:val="22"/>
          <w:szCs w:val="22"/>
        </w:rPr>
        <w:t>subdued, but</w:t>
      </w:r>
      <w:proofErr w:type="gramEnd"/>
      <w:r w:rsidRPr="00A070DF">
        <w:rPr>
          <w:rFonts w:ascii="Times New Roman" w:hAnsi="Times New Roman"/>
          <w:sz w:val="22"/>
          <w:szCs w:val="22"/>
        </w:rPr>
        <w:t xml:space="preserve"> becomes more pronounced when considering a shock to the medium-term policy path, which also elicits a stronger and more prolonged appreciation of the pound. These shocks also lead to a more frontloaded fall in output.</w:t>
      </w:r>
    </w:p>
    <w:p w14:paraId="2FDA3A68" w14:textId="77777777" w:rsidR="00D208BF" w:rsidRPr="00A070DF" w:rsidRDefault="00D208BF" w:rsidP="0021032C">
      <w:pPr>
        <w:pStyle w:val="p1"/>
        <w:spacing w:line="360" w:lineRule="auto"/>
        <w:rPr>
          <w:rFonts w:ascii="Times New Roman" w:hAnsi="Times New Roman"/>
          <w:sz w:val="22"/>
          <w:szCs w:val="22"/>
        </w:rPr>
      </w:pPr>
    </w:p>
    <w:p w14:paraId="01166551" w14:textId="50F3AF07" w:rsidR="00B73492" w:rsidRPr="00A070DF" w:rsidRDefault="00B73492" w:rsidP="0021032C">
      <w:pPr>
        <w:spacing w:after="0" w:line="360" w:lineRule="auto"/>
        <w:rPr>
          <w:rFonts w:ascii="Times New Roman" w:eastAsia="Times New Roman" w:hAnsi="Times New Roman" w:cs="Times New Roman"/>
          <w:kern w:val="0"/>
          <w:sz w:val="22"/>
          <w:szCs w:val="22"/>
          <w:lang w:eastAsia="en-GB"/>
          <w14:ligatures w14:val="none"/>
        </w:rPr>
      </w:pPr>
      <w:r w:rsidRPr="00A070DF">
        <w:rPr>
          <w:rFonts w:ascii="Times New Roman" w:eastAsia="Times New Roman" w:hAnsi="Times New Roman" w:cs="Times New Roman"/>
          <w:kern w:val="0"/>
          <w:sz w:val="22"/>
          <w:szCs w:val="22"/>
          <w:lang w:eastAsia="en-GB"/>
          <w14:ligatures w14:val="none"/>
        </w:rPr>
        <w:t xml:space="preserve">Until 2003 the inflation target was defined in terms of the retail price index excluding mortgage interest rates. Since 1997, the target was set to 2.5 percent annual rate. From 2003 onward, the inflation target has been specified to be 2 percent as measured by the 12-month increase in the consumer price index (Cloyne and </w:t>
      </w:r>
      <w:proofErr w:type="spellStart"/>
      <w:r w:rsidRPr="00A070DF">
        <w:rPr>
          <w:rFonts w:ascii="Times New Roman" w:eastAsia="Times New Roman" w:hAnsi="Times New Roman" w:cs="Times New Roman"/>
          <w:kern w:val="0"/>
          <w:sz w:val="22"/>
          <w:szCs w:val="22"/>
          <w:lang w:eastAsia="en-GB"/>
          <w14:ligatures w14:val="none"/>
        </w:rPr>
        <w:t>Hürtgen</w:t>
      </w:r>
      <w:proofErr w:type="spellEnd"/>
      <w:r w:rsidRPr="00A070DF">
        <w:rPr>
          <w:rFonts w:ascii="Times New Roman" w:eastAsia="Times New Roman" w:hAnsi="Times New Roman" w:cs="Times New Roman"/>
          <w:kern w:val="0"/>
          <w:sz w:val="22"/>
          <w:szCs w:val="22"/>
          <w:lang w:eastAsia="en-GB"/>
          <w14:ligatures w14:val="none"/>
        </w:rPr>
        <w:t>, 2016).</w:t>
      </w:r>
    </w:p>
    <w:p w14:paraId="4AAF3AC9" w14:textId="5DD5A422" w:rsidR="00D208BF" w:rsidRPr="00A070DF" w:rsidRDefault="00D208BF" w:rsidP="0021032C">
      <w:pPr>
        <w:pStyle w:val="p1"/>
        <w:spacing w:line="360" w:lineRule="auto"/>
        <w:rPr>
          <w:rFonts w:ascii="Times New Roman" w:hAnsi="Times New Roman"/>
          <w:sz w:val="22"/>
          <w:szCs w:val="22"/>
        </w:rPr>
      </w:pPr>
      <w:r w:rsidRPr="00A070DF">
        <w:rPr>
          <w:rFonts w:ascii="Times New Roman" w:hAnsi="Times New Roman"/>
          <w:sz w:val="22"/>
          <w:szCs w:val="22"/>
        </w:rPr>
        <w:t>Monetary policy announcements were typically scheduled for 12:00 noon local time</w:t>
      </w:r>
    </w:p>
    <w:p w14:paraId="6C18A643" w14:textId="732A8668" w:rsidR="00D208BF" w:rsidRPr="00A070DF" w:rsidRDefault="00D208BF" w:rsidP="0021032C">
      <w:pPr>
        <w:pStyle w:val="p1"/>
        <w:spacing w:line="360" w:lineRule="auto"/>
        <w:rPr>
          <w:rFonts w:ascii="Times New Roman" w:hAnsi="Times New Roman"/>
          <w:sz w:val="22"/>
          <w:szCs w:val="22"/>
        </w:rPr>
      </w:pPr>
      <w:r w:rsidRPr="00A070DF">
        <w:rPr>
          <w:rFonts w:ascii="Times New Roman" w:hAnsi="Times New Roman"/>
          <w:sz w:val="22"/>
          <w:szCs w:val="22"/>
        </w:rPr>
        <w:t>BoE Inflation report: February, May, August and November</w:t>
      </w:r>
    </w:p>
    <w:p w14:paraId="0BCD38C3" w14:textId="2B4FF855" w:rsidR="00D208BF" w:rsidRPr="00A070DF" w:rsidRDefault="00D208BF" w:rsidP="0021032C">
      <w:pPr>
        <w:pStyle w:val="p1"/>
        <w:spacing w:line="360" w:lineRule="auto"/>
        <w:rPr>
          <w:rFonts w:ascii="Times New Roman" w:hAnsi="Times New Roman"/>
          <w:sz w:val="22"/>
          <w:szCs w:val="22"/>
        </w:rPr>
      </w:pPr>
      <w:r w:rsidRPr="00A070DF">
        <w:rPr>
          <w:rFonts w:ascii="Times New Roman" w:hAnsi="Times New Roman"/>
          <w:sz w:val="22"/>
          <w:szCs w:val="22"/>
        </w:rPr>
        <w:t>IR was typically scheduled a week after the Bank Rate announcement, at 10:30 local time, and it was immediately followed by a 1-hour press conference.</w:t>
      </w:r>
    </w:p>
    <w:p w14:paraId="4CD33B5B" w14:textId="6724E9BB" w:rsidR="002A20D3" w:rsidRPr="00A070DF" w:rsidRDefault="00D208BF" w:rsidP="0021032C">
      <w:pPr>
        <w:pStyle w:val="p1"/>
        <w:spacing w:line="360" w:lineRule="auto"/>
        <w:rPr>
          <w:rFonts w:ascii="Times New Roman" w:hAnsi="Times New Roman"/>
          <w:color w:val="0000FF"/>
          <w:sz w:val="22"/>
          <w:szCs w:val="22"/>
        </w:rPr>
      </w:pPr>
      <w:r w:rsidRPr="00A070DF">
        <w:rPr>
          <w:rFonts w:ascii="Times New Roman" w:hAnsi="Times New Roman"/>
          <w:sz w:val="22"/>
          <w:szCs w:val="22"/>
        </w:rPr>
        <w:t xml:space="preserve">The minutes of each MPC decision meeting were published two weeks after each announcement, at 9:30 local time. (Before October 1998, the minutes were published </w:t>
      </w:r>
      <w:r w:rsidRPr="00A070DF">
        <w:rPr>
          <w:rFonts w:ascii="Times New Roman" w:hAnsi="Times New Roman"/>
          <w:color w:val="auto"/>
          <w:sz w:val="22"/>
          <w:szCs w:val="22"/>
        </w:rPr>
        <w:t>with a six week lag</w:t>
      </w:r>
      <w:r w:rsidR="002A20D3" w:rsidRPr="00A070DF">
        <w:rPr>
          <w:rFonts w:ascii="Times New Roman" w:hAnsi="Times New Roman"/>
          <w:color w:val="auto"/>
          <w:sz w:val="22"/>
          <w:szCs w:val="22"/>
        </w:rPr>
        <w:t xml:space="preserve"> (Reeves and Sawicki, 2005)</w:t>
      </w:r>
      <w:r w:rsidR="008478C0" w:rsidRPr="00A070DF">
        <w:rPr>
          <w:rFonts w:ascii="Times New Roman" w:hAnsi="Times New Roman"/>
          <w:color w:val="auto"/>
          <w:sz w:val="22"/>
          <w:szCs w:val="22"/>
        </w:rPr>
        <w:t xml:space="preserve">) </w:t>
      </w:r>
      <w:r w:rsidR="00B73492" w:rsidRPr="00A070DF">
        <w:rPr>
          <w:rFonts w:ascii="Times New Roman" w:hAnsi="Times New Roman"/>
          <w:sz w:val="22"/>
          <w:szCs w:val="22"/>
        </w:rPr>
        <w:t>– often coincided with data releases that are also likely to substantially influence markets – e.g. Labour Force Survey (unemployment figures)</w:t>
      </w:r>
      <w:r w:rsidR="002A20D3" w:rsidRPr="00A070DF">
        <w:rPr>
          <w:rFonts w:ascii="Times New Roman" w:hAnsi="Times New Roman"/>
          <w:sz w:val="22"/>
          <w:szCs w:val="22"/>
        </w:rPr>
        <w:t xml:space="preserve">, statistics on money and lending activities and, in some instances, even of GDP figures. </w:t>
      </w:r>
      <w:proofErr w:type="gramStart"/>
      <w:r w:rsidR="002A20D3" w:rsidRPr="00A070DF">
        <w:rPr>
          <w:rFonts w:ascii="Times New Roman" w:hAnsi="Times New Roman"/>
          <w:sz w:val="22"/>
          <w:szCs w:val="22"/>
        </w:rPr>
        <w:t>So</w:t>
      </w:r>
      <w:proofErr w:type="gramEnd"/>
      <w:r w:rsidR="002A20D3" w:rsidRPr="00A070DF">
        <w:rPr>
          <w:rFonts w:ascii="Times New Roman" w:hAnsi="Times New Roman"/>
          <w:sz w:val="22"/>
          <w:szCs w:val="22"/>
        </w:rPr>
        <w:t xml:space="preserve"> release of minutes not included in earlier part of sample</w:t>
      </w:r>
    </w:p>
    <w:p w14:paraId="35623797" w14:textId="42A579AA" w:rsidR="002A20D3" w:rsidRPr="00A070DF" w:rsidRDefault="002A20D3" w:rsidP="0021032C">
      <w:pPr>
        <w:pStyle w:val="p1"/>
        <w:spacing w:line="360" w:lineRule="auto"/>
        <w:rPr>
          <w:rFonts w:ascii="Times New Roman" w:hAnsi="Times New Roman"/>
          <w:sz w:val="22"/>
          <w:szCs w:val="22"/>
        </w:rPr>
      </w:pPr>
    </w:p>
    <w:p w14:paraId="73A6E0F3" w14:textId="5AEC7A5D" w:rsidR="002A20D3" w:rsidRPr="00A070DF" w:rsidRDefault="002A20D3" w:rsidP="0021032C">
      <w:pPr>
        <w:pStyle w:val="p1"/>
        <w:spacing w:line="360" w:lineRule="auto"/>
        <w:rPr>
          <w:rFonts w:ascii="Times New Roman" w:hAnsi="Times New Roman"/>
          <w:sz w:val="22"/>
          <w:szCs w:val="22"/>
        </w:rPr>
      </w:pPr>
      <w:r w:rsidRPr="00A070DF">
        <w:rPr>
          <w:rFonts w:ascii="Times New Roman" w:hAnsi="Times New Roman"/>
          <w:sz w:val="22"/>
          <w:szCs w:val="22"/>
        </w:rPr>
        <w:t>Currently, the monetary policy decision, statement and minutes of each meeting are released jointly, on a Thursday, at 12:00 local time. The main monetary policy publication, later renamed the Monetary Policy Report (MPR), maintained the same quarterly publication cycle. When due, it is published together with the monetary policy decision, and the associated press conference is scheduled on the same day, from 12:30 to 13:30 (originally from 12:45 to 13:45). This quarterly occurrence has come to be known of as the BOE’s “Super Thursday”.</w:t>
      </w:r>
    </w:p>
    <w:p w14:paraId="4A61C166" w14:textId="4400BDFD" w:rsidR="008478C0" w:rsidRPr="00A070DF" w:rsidRDefault="008478C0" w:rsidP="0021032C">
      <w:pPr>
        <w:pStyle w:val="p1"/>
        <w:spacing w:line="360" w:lineRule="auto"/>
        <w:rPr>
          <w:rFonts w:ascii="Times New Roman" w:hAnsi="Times New Roman"/>
          <w:sz w:val="22"/>
          <w:szCs w:val="22"/>
        </w:rPr>
      </w:pPr>
      <w:r w:rsidRPr="00A070DF">
        <w:rPr>
          <w:rFonts w:ascii="Times New Roman" w:hAnsi="Times New Roman"/>
          <w:sz w:val="22"/>
          <w:szCs w:val="22"/>
        </w:rPr>
        <w:t xml:space="preserve">Policy rate Effective lower bound in 2009 =&gt; first large-scale asset purchase programme launched (QE) – QE-related announcements are communicated jointly with Bank Rate </w:t>
      </w:r>
      <w:proofErr w:type="gramStart"/>
      <w:r w:rsidRPr="00A070DF">
        <w:rPr>
          <w:rFonts w:ascii="Times New Roman" w:hAnsi="Times New Roman"/>
          <w:sz w:val="22"/>
          <w:szCs w:val="22"/>
        </w:rPr>
        <w:t>decisions, and</w:t>
      </w:r>
      <w:proofErr w:type="gramEnd"/>
      <w:r w:rsidRPr="00A070DF">
        <w:rPr>
          <w:rFonts w:ascii="Times New Roman" w:hAnsi="Times New Roman"/>
          <w:sz w:val="22"/>
          <w:szCs w:val="22"/>
        </w:rPr>
        <w:t xml:space="preserve"> following the same six-week cycle.</w:t>
      </w:r>
    </w:p>
    <w:p w14:paraId="6ED5D046" w14:textId="0C05F41E" w:rsidR="008478C0" w:rsidRPr="00A070DF" w:rsidRDefault="008478C0" w:rsidP="0021032C">
      <w:pPr>
        <w:pStyle w:val="p1"/>
        <w:spacing w:line="360" w:lineRule="auto"/>
        <w:rPr>
          <w:rFonts w:ascii="Times New Roman" w:hAnsi="Times New Roman"/>
          <w:sz w:val="22"/>
          <w:szCs w:val="22"/>
        </w:rPr>
      </w:pPr>
      <w:r w:rsidRPr="00A070DF">
        <w:rPr>
          <w:rFonts w:ascii="Times New Roman" w:hAnsi="Times New Roman"/>
          <w:sz w:val="22"/>
          <w:szCs w:val="22"/>
        </w:rPr>
        <w:t>The MPC communicates with the public also through speeches.</w:t>
      </w:r>
    </w:p>
    <w:p w14:paraId="0EF83B90" w14:textId="6B8559DD" w:rsidR="00D208BF" w:rsidRPr="00A070DF" w:rsidRDefault="00D208BF" w:rsidP="0021032C">
      <w:pPr>
        <w:pStyle w:val="p1"/>
        <w:spacing w:line="360" w:lineRule="auto"/>
        <w:rPr>
          <w:rFonts w:ascii="Times New Roman" w:hAnsi="Times New Roman"/>
          <w:sz w:val="22"/>
          <w:szCs w:val="22"/>
        </w:rPr>
      </w:pPr>
    </w:p>
    <w:p w14:paraId="5431AF20" w14:textId="77777777" w:rsidR="00B73492" w:rsidRPr="00A070DF" w:rsidRDefault="00B73492" w:rsidP="0021032C">
      <w:pPr>
        <w:pStyle w:val="p1"/>
        <w:spacing w:line="360" w:lineRule="auto"/>
        <w:rPr>
          <w:rFonts w:ascii="Times New Roman" w:hAnsi="Times New Roman"/>
          <w:sz w:val="22"/>
          <w:szCs w:val="22"/>
        </w:rPr>
      </w:pPr>
    </w:p>
    <w:p w14:paraId="6C89B710" w14:textId="77777777" w:rsidR="00B73492" w:rsidRPr="00A070DF" w:rsidRDefault="00B73492" w:rsidP="0021032C">
      <w:pPr>
        <w:spacing w:after="0" w:line="360" w:lineRule="auto"/>
        <w:rPr>
          <w:rFonts w:ascii="Times New Roman" w:eastAsia="Times New Roman" w:hAnsi="Times New Roman" w:cs="Times New Roman"/>
          <w:color w:val="000000"/>
          <w:kern w:val="0"/>
          <w:sz w:val="22"/>
          <w:szCs w:val="22"/>
          <w:lang w:eastAsia="en-GB"/>
          <w14:ligatures w14:val="none"/>
        </w:rPr>
      </w:pPr>
    </w:p>
    <w:p w14:paraId="4B8F95C4" w14:textId="77777777" w:rsidR="008478C0" w:rsidRPr="00A070DF" w:rsidRDefault="008478C0" w:rsidP="0021032C">
      <w:pPr>
        <w:spacing w:after="0" w:line="360" w:lineRule="auto"/>
        <w:rPr>
          <w:rFonts w:ascii="Times New Roman" w:eastAsia="Times New Roman" w:hAnsi="Times New Roman" w:cs="Times New Roman"/>
          <w:color w:val="000000"/>
          <w:kern w:val="0"/>
          <w:sz w:val="22"/>
          <w:szCs w:val="22"/>
          <w:lang w:eastAsia="en-GB"/>
          <w14:ligatures w14:val="none"/>
        </w:rPr>
      </w:pPr>
      <w:r w:rsidRPr="00A070DF">
        <w:rPr>
          <w:rFonts w:ascii="Times New Roman" w:eastAsia="Times New Roman" w:hAnsi="Times New Roman" w:cs="Times New Roman"/>
          <w:color w:val="000000"/>
          <w:kern w:val="0"/>
          <w:sz w:val="22"/>
          <w:szCs w:val="22"/>
          <w:lang w:eastAsia="en-GB"/>
          <w14:ligatures w14:val="none"/>
        </w:rPr>
        <w:br w:type="page"/>
      </w:r>
    </w:p>
    <w:p w14:paraId="4E3C5753" w14:textId="4C8632B1" w:rsidR="00DE0A23" w:rsidRPr="00A070DF" w:rsidRDefault="00DE0A23" w:rsidP="0021032C">
      <w:pPr>
        <w:pStyle w:val="p1"/>
        <w:spacing w:line="360" w:lineRule="auto"/>
        <w:rPr>
          <w:rFonts w:ascii="Times New Roman" w:hAnsi="Times New Roman"/>
          <w:color w:val="auto"/>
          <w:sz w:val="22"/>
          <w:szCs w:val="22"/>
        </w:rPr>
      </w:pPr>
      <w:r w:rsidRPr="00A070DF">
        <w:rPr>
          <w:rFonts w:ascii="Times New Roman" w:hAnsi="Times New Roman"/>
          <w:color w:val="auto"/>
          <w:sz w:val="22"/>
          <w:szCs w:val="22"/>
        </w:rPr>
        <w:lastRenderedPageBreak/>
        <w:t>2.2.1</w:t>
      </w:r>
    </w:p>
    <w:p w14:paraId="183DE5A7" w14:textId="77777777" w:rsidR="00DE0A23" w:rsidRPr="00A070DF" w:rsidRDefault="00DE0A23" w:rsidP="0021032C">
      <w:pPr>
        <w:pStyle w:val="p1"/>
        <w:spacing w:line="360" w:lineRule="auto"/>
        <w:rPr>
          <w:rFonts w:ascii="Times New Roman" w:hAnsi="Times New Roman"/>
          <w:color w:val="auto"/>
          <w:sz w:val="22"/>
          <w:szCs w:val="22"/>
        </w:rPr>
      </w:pPr>
    </w:p>
    <w:p w14:paraId="1D50CB41" w14:textId="5362D414" w:rsidR="00DE0A23" w:rsidRPr="00E7256C" w:rsidRDefault="00DE0A23" w:rsidP="00E7256C">
      <w:pPr>
        <w:pStyle w:val="p1"/>
        <w:spacing w:line="360" w:lineRule="auto"/>
        <w:rPr>
          <w:rFonts w:ascii="Times New Roman" w:hAnsi="Times New Roman"/>
          <w:color w:val="auto"/>
          <w:sz w:val="22"/>
          <w:szCs w:val="22"/>
        </w:rPr>
      </w:pPr>
      <w:r w:rsidRPr="00A070DF">
        <w:rPr>
          <w:rFonts w:ascii="Times New Roman" w:hAnsi="Times New Roman"/>
          <w:color w:val="auto"/>
          <w:sz w:val="22"/>
          <w:szCs w:val="22"/>
        </w:rPr>
        <w:t xml:space="preserve">Following </w:t>
      </w:r>
      <w:r w:rsidRPr="00A070DF">
        <w:rPr>
          <w:rStyle w:val="s1"/>
          <w:rFonts w:ascii="Times New Roman" w:eastAsiaTheme="majorEastAsia" w:hAnsi="Times New Roman"/>
          <w:color w:val="auto"/>
          <w:sz w:val="22"/>
          <w:szCs w:val="22"/>
        </w:rPr>
        <w:t>Gürkaynak</w:t>
      </w:r>
      <w:r w:rsidRPr="0021032C">
        <w:rPr>
          <w:rStyle w:val="s1"/>
          <w:rFonts w:ascii="Times New Roman" w:eastAsiaTheme="majorEastAsia" w:hAnsi="Times New Roman"/>
          <w:color w:val="auto"/>
          <w:sz w:val="22"/>
          <w:szCs w:val="22"/>
        </w:rPr>
        <w:t xml:space="preserve"> et al. </w:t>
      </w:r>
      <w:r w:rsidRPr="0021032C">
        <w:rPr>
          <w:rFonts w:ascii="Times New Roman" w:hAnsi="Times New Roman"/>
          <w:color w:val="auto"/>
          <w:sz w:val="22"/>
          <w:szCs w:val="22"/>
        </w:rPr>
        <w:t>(</w:t>
      </w:r>
      <w:r w:rsidRPr="0021032C">
        <w:rPr>
          <w:rStyle w:val="s1"/>
          <w:rFonts w:ascii="Times New Roman" w:eastAsiaTheme="majorEastAsia" w:hAnsi="Times New Roman"/>
          <w:color w:val="auto"/>
          <w:sz w:val="22"/>
          <w:szCs w:val="22"/>
        </w:rPr>
        <w:t>2005</w:t>
      </w:r>
      <w:r w:rsidRPr="0021032C">
        <w:rPr>
          <w:rFonts w:ascii="Times New Roman" w:hAnsi="Times New Roman"/>
          <w:color w:val="auto"/>
          <w:sz w:val="22"/>
          <w:szCs w:val="22"/>
        </w:rPr>
        <w:t xml:space="preserve">), we define monetary policy surprises as high-frequency revisions in asset </w:t>
      </w:r>
      <w:r w:rsidRPr="00E7256C">
        <w:rPr>
          <w:rFonts w:ascii="Times New Roman" w:hAnsi="Times New Roman"/>
          <w:color w:val="auto"/>
          <w:sz w:val="22"/>
          <w:szCs w:val="22"/>
        </w:rPr>
        <w:t>prices around monetary policy events. To ensure that no competing events distort the measurement, monetary policy surprises are calculated over narrow time windows that bracket the announcements, as the difference between</w:t>
      </w:r>
    </w:p>
    <w:p w14:paraId="5DFFEEB8" w14:textId="46703ACB" w:rsidR="00DE0A23" w:rsidRPr="00E7256C" w:rsidRDefault="00DE0A23" w:rsidP="00E7256C">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the price that prevails before and after the relevant monetary policy event. (30-minute measurement window, from 10 minutes before to 20 minutes after the announcement)</w:t>
      </w:r>
    </w:p>
    <w:p w14:paraId="39B803E0" w14:textId="77777777" w:rsidR="000972D9" w:rsidRPr="00E7256C" w:rsidRDefault="000972D9" w:rsidP="00E7256C">
      <w:pPr>
        <w:pStyle w:val="p1"/>
        <w:spacing w:line="360" w:lineRule="auto"/>
        <w:rPr>
          <w:rFonts w:ascii="Times New Roman" w:hAnsi="Times New Roman"/>
          <w:color w:val="auto"/>
          <w:sz w:val="22"/>
          <w:szCs w:val="22"/>
        </w:rPr>
      </w:pPr>
    </w:p>
    <w:p w14:paraId="4D779E1F" w14:textId="039657EE" w:rsidR="00DE0A23" w:rsidRPr="00E7256C" w:rsidRDefault="00DE0A23" w:rsidP="00E7256C">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 xml:space="preserve">For the press-conference that follows the release of the IR/MPR, we instead use a longer 75-minute window, from 10 minutes before its beginning to 5 minutes after its end. To avoid misquotes, and following </w:t>
      </w:r>
      <w:r w:rsidRPr="00E7256C">
        <w:rPr>
          <w:rStyle w:val="s1"/>
          <w:rFonts w:ascii="Times New Roman" w:eastAsiaTheme="majorEastAsia" w:hAnsi="Times New Roman"/>
          <w:color w:val="auto"/>
          <w:sz w:val="22"/>
          <w:szCs w:val="22"/>
        </w:rPr>
        <w:t xml:space="preserve">Altavilla et al. </w:t>
      </w:r>
      <w:r w:rsidRPr="00E7256C">
        <w:rPr>
          <w:rFonts w:ascii="Times New Roman" w:hAnsi="Times New Roman"/>
          <w:color w:val="auto"/>
          <w:sz w:val="22"/>
          <w:szCs w:val="22"/>
        </w:rPr>
        <w:t>(</w:t>
      </w:r>
      <w:r w:rsidRPr="00E7256C">
        <w:rPr>
          <w:rStyle w:val="s1"/>
          <w:rFonts w:ascii="Times New Roman" w:eastAsiaTheme="majorEastAsia" w:hAnsi="Times New Roman"/>
          <w:color w:val="auto"/>
          <w:sz w:val="22"/>
          <w:szCs w:val="22"/>
        </w:rPr>
        <w:t>2019</w:t>
      </w:r>
      <w:r w:rsidRPr="00E7256C">
        <w:rPr>
          <w:rFonts w:ascii="Times New Roman" w:hAnsi="Times New Roman"/>
          <w:color w:val="auto"/>
          <w:sz w:val="22"/>
          <w:szCs w:val="22"/>
        </w:rPr>
        <w:t>), for each event we define the pre-event price as the median quote in the ten minutes before the beginning of each window, and the post-event price as the median quote in the 10 minutes after the end of each window.</w:t>
      </w:r>
      <w:r w:rsidRPr="00E7256C">
        <w:rPr>
          <w:rStyle w:val="apple-converted-space"/>
          <w:rFonts w:ascii="Times New Roman" w:eastAsiaTheme="majorEastAsia" w:hAnsi="Times New Roman"/>
          <w:color w:val="auto"/>
          <w:sz w:val="22"/>
          <w:szCs w:val="22"/>
        </w:rPr>
        <w:t> </w:t>
      </w:r>
    </w:p>
    <w:p w14:paraId="378BA71A" w14:textId="77777777" w:rsidR="000972D9" w:rsidRPr="00E7256C" w:rsidRDefault="000972D9" w:rsidP="00E7256C">
      <w:pPr>
        <w:pStyle w:val="p1"/>
        <w:spacing w:line="360" w:lineRule="auto"/>
        <w:rPr>
          <w:rFonts w:ascii="Times New Roman" w:hAnsi="Times New Roman"/>
          <w:color w:val="auto"/>
          <w:sz w:val="22"/>
          <w:szCs w:val="22"/>
        </w:rPr>
      </w:pPr>
    </w:p>
    <w:p w14:paraId="1D7F557D" w14:textId="146DD000" w:rsidR="000972D9" w:rsidRPr="00E7256C" w:rsidRDefault="000972D9" w:rsidP="00E7256C">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 xml:space="preserve">In the pre Super Thursday sample (1997-2015), the announcement window includes Bank Rate and other policy announcements (e.g. QE from 2009) and the release of the policy statement. The press conference window instead includes the publication of the IR and the whole duration of the press conference. In the </w:t>
      </w:r>
      <w:proofErr w:type="spellStart"/>
      <w:r w:rsidRPr="00E7256C">
        <w:rPr>
          <w:rFonts w:ascii="Times New Roman" w:hAnsi="Times New Roman"/>
          <w:color w:val="auto"/>
          <w:sz w:val="22"/>
          <w:szCs w:val="22"/>
        </w:rPr>
        <w:t>post Super</w:t>
      </w:r>
      <w:proofErr w:type="spellEnd"/>
      <w:r w:rsidRPr="00E7256C">
        <w:rPr>
          <w:rFonts w:ascii="Times New Roman" w:hAnsi="Times New Roman"/>
          <w:color w:val="auto"/>
          <w:sz w:val="22"/>
          <w:szCs w:val="22"/>
        </w:rPr>
        <w:t xml:space="preserve"> Thursday sample (2015-2023), the press conference window only covers the actual press conference. Policy decisions, the publication of the MPR, as well as the release of the minutes and the statement all enter the announcement window</w:t>
      </w:r>
    </w:p>
    <w:p w14:paraId="1F44436A" w14:textId="77777777" w:rsidR="000972D9" w:rsidRPr="00E7256C" w:rsidRDefault="000972D9" w:rsidP="00E7256C">
      <w:pPr>
        <w:pStyle w:val="p1"/>
        <w:spacing w:line="360" w:lineRule="auto"/>
        <w:rPr>
          <w:rFonts w:ascii="Times New Roman" w:hAnsi="Times New Roman"/>
          <w:color w:val="auto"/>
          <w:sz w:val="22"/>
          <w:szCs w:val="22"/>
        </w:rPr>
      </w:pPr>
    </w:p>
    <w:p w14:paraId="2520AFA3" w14:textId="338B2A18" w:rsidR="00E82FC7" w:rsidRPr="00E7256C" w:rsidRDefault="000972D9" w:rsidP="00E7256C">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 xml:space="preserve">In the empirical section that follows we also make use of a monetary event window. This is obtained as the union of the announcement and press conference windows. In the pre Super Thursday sample, this translates into an increased number of daily events, due to the announcement and press conference happening on different days over that sample. In the </w:t>
      </w:r>
      <w:proofErr w:type="spellStart"/>
      <w:r w:rsidRPr="00E7256C">
        <w:rPr>
          <w:rFonts w:ascii="Times New Roman" w:hAnsi="Times New Roman"/>
          <w:color w:val="auto"/>
          <w:sz w:val="22"/>
          <w:szCs w:val="22"/>
        </w:rPr>
        <w:t>post Super</w:t>
      </w:r>
      <w:proofErr w:type="spellEnd"/>
      <w:r w:rsidRPr="00E7256C">
        <w:rPr>
          <w:rFonts w:ascii="Times New Roman" w:hAnsi="Times New Roman"/>
          <w:color w:val="auto"/>
          <w:sz w:val="22"/>
          <w:szCs w:val="22"/>
        </w:rPr>
        <w:t xml:space="preserve"> Thursday sample, the monetary event window yields the sum of the price movements across the two windows, which since 2015 happen on the same day.</w:t>
      </w:r>
    </w:p>
    <w:p w14:paraId="31276152" w14:textId="4ECD6247" w:rsidR="00E82FC7" w:rsidRPr="00E7256C" w:rsidRDefault="00E82FC7" w:rsidP="00E7256C">
      <w:pPr>
        <w:pStyle w:val="p1"/>
        <w:spacing w:line="360" w:lineRule="auto"/>
        <w:jc w:val="center"/>
        <w:rPr>
          <w:rFonts w:ascii="Times New Roman" w:hAnsi="Times New Roman"/>
          <w:color w:val="auto"/>
          <w:sz w:val="22"/>
          <w:szCs w:val="22"/>
        </w:rPr>
      </w:pPr>
      <w:r w:rsidRPr="00E7256C">
        <w:rPr>
          <w:rFonts w:ascii="Times New Roman" w:hAnsi="Times New Roman"/>
          <w:noProof/>
          <w:color w:val="auto"/>
          <w:sz w:val="22"/>
          <w:szCs w:val="22"/>
        </w:rPr>
        <w:lastRenderedPageBreak/>
        <w:drawing>
          <wp:inline distT="0" distB="0" distL="0" distR="0" wp14:anchorId="38401AD1" wp14:editId="4378FCA3">
            <wp:extent cx="3177915" cy="3118499"/>
            <wp:effectExtent l="0" t="0" r="0" b="5715"/>
            <wp:docPr id="1685080489" name="Picture 1" descr="A diagram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80489" name="Picture 1" descr="A diagram of a window&#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82639" cy="3123134"/>
                    </a:xfrm>
                    <a:prstGeom prst="rect">
                      <a:avLst/>
                    </a:prstGeom>
                  </pic:spPr>
                </pic:pic>
              </a:graphicData>
            </a:graphic>
          </wp:inline>
        </w:drawing>
      </w:r>
    </w:p>
    <w:p w14:paraId="5ADB9C33" w14:textId="77777777" w:rsidR="00A329FA" w:rsidRPr="00E7256C" w:rsidRDefault="00A329FA" w:rsidP="00E7256C">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 xml:space="preserve">Surprise = post event price – pre event price </w:t>
      </w:r>
    </w:p>
    <w:p w14:paraId="7A5037F9" w14:textId="4485C4CC" w:rsidR="00A329FA" w:rsidRPr="00E7256C" w:rsidRDefault="00A329FA" w:rsidP="00E7256C">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where the prices are medians within small windows before and after the event.</w:t>
      </w:r>
    </w:p>
    <w:p w14:paraId="2244DEAE" w14:textId="77777777" w:rsidR="00A329FA" w:rsidRPr="00E7256C" w:rsidRDefault="00A329FA" w:rsidP="00E7256C">
      <w:pPr>
        <w:spacing w:after="0" w:line="360" w:lineRule="auto"/>
        <w:rPr>
          <w:rFonts w:ascii="Times New Roman" w:eastAsia="Times New Roman" w:hAnsi="Times New Roman" w:cs="Times New Roman"/>
          <w:kern w:val="0"/>
          <w:sz w:val="22"/>
          <w:szCs w:val="22"/>
          <w:lang w:eastAsia="en-GB"/>
          <w14:ligatures w14:val="none"/>
        </w:rPr>
      </w:pPr>
    </w:p>
    <w:p w14:paraId="0A9C13EA" w14:textId="77777777" w:rsidR="00A329FA" w:rsidRPr="00E7256C" w:rsidRDefault="00A329FA" w:rsidP="00E7256C">
      <w:pPr>
        <w:spacing w:after="0" w:line="360" w:lineRule="auto"/>
        <w:rPr>
          <w:rFonts w:ascii="Times New Roman" w:eastAsia="Times New Roman" w:hAnsi="Times New Roman" w:cs="Times New Roman"/>
          <w:kern w:val="0"/>
          <w:sz w:val="22"/>
          <w:szCs w:val="22"/>
          <w:lang w:eastAsia="en-GB"/>
          <w14:ligatures w14:val="none"/>
        </w:rPr>
      </w:pPr>
    </w:p>
    <w:p w14:paraId="415EFFD3" w14:textId="77777777" w:rsidR="00A96280" w:rsidRDefault="00A96280">
      <w:pPr>
        <w:rPr>
          <w:rFonts w:ascii="Times New Roman" w:hAnsi="Times New Roman" w:cs="Times New Roman"/>
          <w:sz w:val="22"/>
          <w:szCs w:val="22"/>
        </w:rPr>
      </w:pPr>
      <w:r>
        <w:rPr>
          <w:rFonts w:ascii="Times New Roman" w:hAnsi="Times New Roman" w:cs="Times New Roman"/>
          <w:sz w:val="22"/>
          <w:szCs w:val="22"/>
        </w:rPr>
        <w:br w:type="page"/>
      </w:r>
    </w:p>
    <w:p w14:paraId="5F7544B1" w14:textId="7CB831E4" w:rsidR="00E82FC7" w:rsidRPr="00E7256C" w:rsidRDefault="00E82FC7" w:rsidP="00E7256C">
      <w:pPr>
        <w:spacing w:after="0" w:line="360" w:lineRule="auto"/>
        <w:rPr>
          <w:rFonts w:ascii="Times New Roman" w:hAnsi="Times New Roman" w:cs="Times New Roman"/>
          <w:sz w:val="22"/>
          <w:szCs w:val="22"/>
        </w:rPr>
      </w:pPr>
      <w:r w:rsidRPr="00E7256C">
        <w:rPr>
          <w:rFonts w:ascii="Times New Roman" w:hAnsi="Times New Roman" w:cs="Times New Roman"/>
          <w:sz w:val="22"/>
          <w:szCs w:val="22"/>
        </w:rPr>
        <w:lastRenderedPageBreak/>
        <w:t xml:space="preserve">High-frequency surprises in asset prices that are directly linked to monetary policy expectations — such as e.g. overnight index swaps (OIS) or interest rate futures — allow us to map the degree to which the monetary policy event triggered a revision in market-based expectations about the path of policy. Surprises in other asset prices, such as the stock market index or the exchange rate, capture the response of these markets to the decisions. Taken in conjunction, the monetary policy surprises from different asset prices allow to gauge how markets interpret the monetary policy decisions. For example, an easing surprise in OIS rates — which can result from the policy rate being lowered by more than expected, or it being hiked by less than expected — can be accompanied by either positive or negative surprises in the stock market. </w:t>
      </w:r>
      <w:proofErr w:type="spellStart"/>
      <w:r w:rsidRPr="00E7256C">
        <w:rPr>
          <w:rStyle w:val="s1"/>
          <w:rFonts w:ascii="Times New Roman" w:hAnsi="Times New Roman" w:cs="Times New Roman"/>
          <w:color w:val="auto"/>
          <w:sz w:val="22"/>
          <w:szCs w:val="22"/>
        </w:rPr>
        <w:t>Jaroc</w:t>
      </w:r>
      <w:r w:rsidRPr="00E7256C">
        <w:rPr>
          <w:rStyle w:val="s1"/>
          <w:rFonts w:ascii="Times New Roman" w:eastAsiaTheme="majorEastAsia" w:hAnsi="Times New Roman" w:cs="Times New Roman"/>
          <w:color w:val="auto"/>
          <w:sz w:val="22"/>
          <w:szCs w:val="22"/>
        </w:rPr>
        <w:t>in</w:t>
      </w:r>
      <w:r w:rsidRPr="00E7256C">
        <w:rPr>
          <w:rStyle w:val="s1"/>
          <w:rFonts w:ascii="Times New Roman" w:hAnsi="Times New Roman" w:cs="Times New Roman"/>
          <w:color w:val="auto"/>
          <w:sz w:val="22"/>
          <w:szCs w:val="22"/>
        </w:rPr>
        <w:t>ski</w:t>
      </w:r>
      <w:proofErr w:type="spellEnd"/>
      <w:r w:rsidRPr="00E7256C">
        <w:rPr>
          <w:rStyle w:val="s1"/>
          <w:rFonts w:ascii="Times New Roman" w:hAnsi="Times New Roman" w:cs="Times New Roman"/>
          <w:color w:val="auto"/>
          <w:sz w:val="22"/>
          <w:szCs w:val="22"/>
        </w:rPr>
        <w:t xml:space="preserve"> and Karadi </w:t>
      </w:r>
      <w:r w:rsidRPr="00E7256C">
        <w:rPr>
          <w:rFonts w:ascii="Times New Roman" w:hAnsi="Times New Roman" w:cs="Times New Roman"/>
          <w:sz w:val="22"/>
          <w:szCs w:val="22"/>
        </w:rPr>
        <w:t>(</w:t>
      </w:r>
      <w:r w:rsidRPr="00E7256C">
        <w:rPr>
          <w:rStyle w:val="s1"/>
          <w:rFonts w:ascii="Times New Roman" w:hAnsi="Times New Roman" w:cs="Times New Roman"/>
          <w:color w:val="auto"/>
          <w:sz w:val="22"/>
          <w:szCs w:val="22"/>
        </w:rPr>
        <w:t>2020</w:t>
      </w:r>
      <w:r w:rsidRPr="00E7256C">
        <w:rPr>
          <w:rFonts w:ascii="Times New Roman" w:hAnsi="Times New Roman" w:cs="Times New Roman"/>
          <w:sz w:val="22"/>
          <w:szCs w:val="22"/>
        </w:rPr>
        <w:t>) interpret the first case as a conventional monetary policy shock, while attributing the second to information effects, that is, to the central bank implicitly revealing information about deteriorating conditions ahead.</w:t>
      </w:r>
    </w:p>
    <w:p w14:paraId="3F901CB9" w14:textId="77777777" w:rsidR="003075AB" w:rsidRPr="00E7256C" w:rsidRDefault="003075AB" w:rsidP="00E7256C">
      <w:pPr>
        <w:pStyle w:val="p1"/>
        <w:spacing w:line="360" w:lineRule="auto"/>
        <w:rPr>
          <w:rFonts w:ascii="Times New Roman" w:hAnsi="Times New Roman"/>
          <w:color w:val="auto"/>
          <w:sz w:val="22"/>
          <w:szCs w:val="22"/>
        </w:rPr>
      </w:pPr>
    </w:p>
    <w:p w14:paraId="2FB4FDEE" w14:textId="77777777" w:rsidR="003075AB" w:rsidRPr="00E7256C" w:rsidRDefault="003075AB" w:rsidP="00E7256C">
      <w:pPr>
        <w:pStyle w:val="p1"/>
        <w:spacing w:line="360" w:lineRule="auto"/>
        <w:rPr>
          <w:rFonts w:ascii="Times New Roman" w:hAnsi="Times New Roman"/>
          <w:color w:val="auto"/>
          <w:sz w:val="22"/>
          <w:szCs w:val="22"/>
        </w:rPr>
      </w:pPr>
    </w:p>
    <w:p w14:paraId="63A679D9" w14:textId="4A44124E" w:rsidR="003075AB" w:rsidRPr="00E7256C" w:rsidRDefault="003075AB" w:rsidP="00E7256C">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Increasingly, and particularly since the policy rate reached its effective lower bound following the financial crisis of 2008, the MPC has conducted monetary policy through different tools designed to affect specific segments of the yield curve. While conventional Bank Rate policy was aimed predominantly at the short-end, alternative interventions such as forward guidance and QE aim at affecting rates expectations at substantially longer maturities.</w:t>
      </w:r>
    </w:p>
    <w:p w14:paraId="19EACADD" w14:textId="77777777" w:rsidR="00E82FC7" w:rsidRPr="00E7256C" w:rsidRDefault="00E82FC7" w:rsidP="00E7256C">
      <w:pPr>
        <w:pStyle w:val="p1"/>
        <w:spacing w:line="360" w:lineRule="auto"/>
        <w:rPr>
          <w:rFonts w:ascii="Times New Roman" w:hAnsi="Times New Roman"/>
          <w:color w:val="auto"/>
          <w:sz w:val="22"/>
          <w:szCs w:val="22"/>
        </w:rPr>
      </w:pPr>
    </w:p>
    <w:p w14:paraId="441F3834" w14:textId="18CE9AF8" w:rsidR="003075AB" w:rsidRPr="00E7256C" w:rsidRDefault="003075AB" w:rsidP="00E7256C">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Gürkaynak et al. (2005) showed how structural factors could be used to summarise the market reaction to policy decisions at different points of the maturity spectrum. They identified a Target factor that summarised the immediate policy rate decision, and a Path factor that instead captured information about the future path of policy, thus embedding both implicit and explicit forward guidance. Swanson (2021) further developed this intuition to capture the effects of QE announcements.</w:t>
      </w:r>
    </w:p>
    <w:p w14:paraId="484D1D80" w14:textId="77777777" w:rsidR="00A329FA" w:rsidRPr="00E7256C" w:rsidRDefault="00A329FA" w:rsidP="00E7256C">
      <w:pPr>
        <w:pStyle w:val="p1"/>
        <w:spacing w:line="360" w:lineRule="auto"/>
        <w:rPr>
          <w:rFonts w:ascii="Times New Roman" w:hAnsi="Times New Roman"/>
          <w:color w:val="auto"/>
          <w:sz w:val="22"/>
          <w:szCs w:val="22"/>
        </w:rPr>
      </w:pPr>
    </w:p>
    <w:p w14:paraId="0A59B449" w14:textId="77777777" w:rsidR="00270CB4" w:rsidRPr="00E7256C" w:rsidRDefault="003075AB" w:rsidP="00E7256C">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To estimate the UK-specific factors, we apply the model in Swanson (2021) to monetary surprises in the first four short sterling futures, and in the 2, 5 and 10-year gilt yields. The estimation proceeds in two steps. First, principal components are used to summarise the common variation in the monetary surprises in the seven asset prices.15 Second, additional identifying restrictions are imposed to pin down the structural factors and facilitate their interpretation. Out of the three estimated factors, only the first one (Target) is allowed to load on the first short sterling futures. To distinguish between the second (Path) and third (QE) factors, the variance of the latter is minimised over the pre-2009 sample. The factors are orthogonal to one another by construction.</w:t>
      </w:r>
    </w:p>
    <w:p w14:paraId="3BBB5ECC" w14:textId="79BDB242" w:rsidR="00270CB4" w:rsidRPr="00E7256C" w:rsidRDefault="00270CB4" w:rsidP="00E7256C">
      <w:pPr>
        <w:pStyle w:val="ListParagraph"/>
        <w:numPr>
          <w:ilvl w:val="0"/>
          <w:numId w:val="3"/>
        </w:numPr>
        <w:spacing w:after="0" w:line="360" w:lineRule="auto"/>
        <w:rPr>
          <w:rStyle w:val="bzpyqfadein"/>
          <w:rFonts w:ascii="Times New Roman" w:hAnsi="Times New Roman" w:cs="Times New Roman"/>
          <w:sz w:val="22"/>
          <w:szCs w:val="22"/>
        </w:rPr>
      </w:pPr>
      <w:r w:rsidRPr="00E7256C">
        <w:rPr>
          <w:rFonts w:ascii="Times New Roman" w:eastAsia="Times New Roman" w:hAnsi="Times New Roman" w:cs="Times New Roman"/>
          <w:kern w:val="0"/>
          <w:sz w:val="22"/>
          <w:szCs w:val="22"/>
          <w:lang w:eastAsia="en-GB"/>
          <w14:ligatures w14:val="none"/>
        </w:rPr>
        <w:lastRenderedPageBreak/>
        <w:t xml:space="preserve">They run PCA on </w:t>
      </w:r>
      <w:r w:rsidRPr="00E7256C">
        <w:rPr>
          <w:rStyle w:val="bzpyqfadein"/>
          <w:rFonts w:ascii="Times New Roman" w:hAnsi="Times New Roman" w:cs="Times New Roman"/>
          <w:sz w:val="22"/>
          <w:szCs w:val="22"/>
        </w:rPr>
        <w:t>Short-term</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rate</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expectations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(3m),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(6m),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(9m),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(12m)) and Longer-term</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rates</w:t>
      </w:r>
      <w:r w:rsidRPr="00E7256C">
        <w:rPr>
          <w:rFonts w:ascii="Times New Roman" w:hAnsi="Times New Roman" w:cs="Times New Roman"/>
          <w:sz w:val="22"/>
          <w:szCs w:val="22"/>
        </w:rPr>
        <w:t xml:space="preserve"> (</w:t>
      </w:r>
      <w:r w:rsidRPr="00E7256C">
        <w:rPr>
          <w:rStyle w:val="bzpyqfadein"/>
          <w:rFonts w:ascii="Times New Roman" w:hAnsi="Times New Roman" w:cs="Times New Roman"/>
          <w:sz w:val="22"/>
          <w:szCs w:val="22"/>
        </w:rPr>
        <w:t>2-year</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gilt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yield</w:t>
      </w:r>
      <w:r w:rsidRPr="00E7256C">
        <w:rPr>
          <w:rFonts w:ascii="Times New Roman" w:hAnsi="Times New Roman" w:cs="Times New Roman"/>
          <w:sz w:val="22"/>
          <w:szCs w:val="22"/>
        </w:rPr>
        <w:t xml:space="preserve">, </w:t>
      </w:r>
      <w:r w:rsidRPr="00E7256C">
        <w:rPr>
          <w:rStyle w:val="bzpyqfadein"/>
          <w:rFonts w:ascii="Times New Roman" w:hAnsi="Times New Roman" w:cs="Times New Roman"/>
          <w:sz w:val="22"/>
          <w:szCs w:val="22"/>
        </w:rPr>
        <w:t>5-year</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gilt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yield</w:t>
      </w:r>
      <w:r w:rsidRPr="00E7256C">
        <w:rPr>
          <w:rFonts w:ascii="Times New Roman" w:hAnsi="Times New Roman" w:cs="Times New Roman"/>
          <w:sz w:val="22"/>
          <w:szCs w:val="22"/>
        </w:rPr>
        <w:t xml:space="preserve">, </w:t>
      </w:r>
      <w:r w:rsidRPr="00E7256C">
        <w:rPr>
          <w:rStyle w:val="bzpyqfadein"/>
          <w:rFonts w:ascii="Times New Roman" w:hAnsi="Times New Roman" w:cs="Times New Roman"/>
          <w:sz w:val="22"/>
          <w:szCs w:val="22"/>
        </w:rPr>
        <w:t>10-year</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gilt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yield)</w:t>
      </w:r>
    </w:p>
    <w:p w14:paraId="213AB35F" w14:textId="21057B5C" w:rsidR="00270CB4" w:rsidRPr="00E7256C" w:rsidRDefault="00270CB4" w:rsidP="00E7256C">
      <w:pPr>
        <w:pStyle w:val="ListParagraph"/>
        <w:numPr>
          <w:ilvl w:val="0"/>
          <w:numId w:val="3"/>
        </w:numPr>
        <w:spacing w:after="0" w:line="360" w:lineRule="auto"/>
        <w:rPr>
          <w:rFonts w:ascii="Times New Roman" w:eastAsia="Times New Roman" w:hAnsi="Times New Roman" w:cs="Times New Roman"/>
          <w:kern w:val="0"/>
          <w:sz w:val="22"/>
          <w:szCs w:val="22"/>
          <w:lang w:eastAsia="en-GB"/>
          <w14:ligatures w14:val="none"/>
        </w:rPr>
      </w:pPr>
      <w:r w:rsidRPr="00E7256C">
        <w:rPr>
          <w:rStyle w:val="bzpyqfadein"/>
          <w:rFonts w:ascii="Times New Roman" w:hAnsi="Times New Roman" w:cs="Times New Roman"/>
          <w:sz w:val="22"/>
          <w:szCs w:val="22"/>
        </w:rPr>
        <w:t xml:space="preserve">Then restrictions imposed: </w:t>
      </w:r>
      <w:r w:rsidRPr="00E7256C">
        <w:rPr>
          <w:rFonts w:ascii="Times New Roman" w:hAnsi="Times New Roman" w:cs="Times New Roman"/>
          <w:sz w:val="22"/>
          <w:szCs w:val="22"/>
        </w:rPr>
        <w:t>Only the Target factor is allowed to affect the shortest maturity future (3-month). Path factor affects medium maturities. QE factor – minimise variance before 2009 because QE did not exist.</w:t>
      </w:r>
    </w:p>
    <w:p w14:paraId="333F3701" w14:textId="77777777" w:rsidR="00270CB4" w:rsidRPr="00E7256C" w:rsidRDefault="00270CB4" w:rsidP="00E7256C">
      <w:pPr>
        <w:spacing w:after="0" w:line="360" w:lineRule="auto"/>
        <w:rPr>
          <w:rFonts w:ascii="Times New Roman" w:eastAsia="Times New Roman" w:hAnsi="Times New Roman" w:cs="Times New Roman"/>
          <w:kern w:val="0"/>
          <w:sz w:val="22"/>
          <w:szCs w:val="22"/>
          <w:lang w:eastAsia="en-GB"/>
          <w14:ligatures w14:val="none"/>
        </w:rPr>
      </w:pPr>
    </w:p>
    <w:p w14:paraId="005A416E" w14:textId="4DE83216" w:rsidR="00270CB4" w:rsidRPr="00E7256C" w:rsidRDefault="00270CB4" w:rsidP="00E7256C">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BOE’s Target shocks capture short-term monetary policy in a somewhat broader sense relative to equivalent factors extracted for the Fed and the ECB. This is due to sufficiently liquid short-maturity interest rate futures contracts in the UK embedding a three-month maturity. Thus, a Bank Rate shock as defined in this paper has a broader connotation than in the US and EA</w:t>
      </w:r>
    </w:p>
    <w:p w14:paraId="3508D8E1" w14:textId="7A03D6F4" w:rsidR="003075AB" w:rsidRPr="00E7256C" w:rsidRDefault="003075AB" w:rsidP="00E7256C">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 xml:space="preserve">Press conferences </w:t>
      </w:r>
      <w:r w:rsidR="00270CB4" w:rsidRPr="00E7256C">
        <w:rPr>
          <w:rFonts w:ascii="Times New Roman" w:hAnsi="Times New Roman"/>
          <w:color w:val="auto"/>
          <w:sz w:val="22"/>
          <w:szCs w:val="22"/>
        </w:rPr>
        <w:t>so more similar to ECB than FED</w:t>
      </w:r>
    </w:p>
    <w:p w14:paraId="3C56E954" w14:textId="77777777" w:rsidR="00654BF6" w:rsidRPr="00E7256C" w:rsidRDefault="00654BF6" w:rsidP="00E7256C">
      <w:pPr>
        <w:pStyle w:val="p1"/>
        <w:spacing w:line="360" w:lineRule="auto"/>
        <w:rPr>
          <w:rFonts w:ascii="Times New Roman" w:hAnsi="Times New Roman"/>
          <w:color w:val="auto"/>
          <w:sz w:val="22"/>
          <w:szCs w:val="22"/>
        </w:rPr>
      </w:pPr>
    </w:p>
    <w:p w14:paraId="1113034C" w14:textId="1E901B3E" w:rsidR="00654BF6" w:rsidRPr="00E7256C" w:rsidRDefault="00654BF6" w:rsidP="00E7256C">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The largest readings of the Target factor are associated with the policy easing decisions taken in response to</w:t>
      </w:r>
      <w:r w:rsidR="00E7256C">
        <w:rPr>
          <w:rFonts w:ascii="Times New Roman" w:hAnsi="Times New Roman"/>
          <w:color w:val="auto"/>
          <w:sz w:val="22"/>
          <w:szCs w:val="22"/>
        </w:rPr>
        <w:t xml:space="preserve"> </w:t>
      </w:r>
      <w:r w:rsidRPr="00E7256C">
        <w:rPr>
          <w:rFonts w:ascii="Times New Roman" w:hAnsi="Times New Roman"/>
          <w:color w:val="auto"/>
          <w:sz w:val="22"/>
          <w:szCs w:val="22"/>
        </w:rPr>
        <w:t xml:space="preserve">the financial crisis of 2008, with the 150bps Bank Rate cut of November 2008 as the single largest observation in our sample. Large Target surprises tend to happen during meetings that are not associated with an IR/MPR publication. It is also worth noting that there is generally little variation in the Target factor during the press conferences. The largest observation of the Path and QE factors are instead more </w:t>
      </w:r>
      <w:proofErr w:type="gramStart"/>
      <w:r w:rsidRPr="00E7256C">
        <w:rPr>
          <w:rFonts w:ascii="Times New Roman" w:hAnsi="Times New Roman"/>
          <w:color w:val="auto"/>
          <w:sz w:val="22"/>
          <w:szCs w:val="22"/>
        </w:rPr>
        <w:t>recent, and</w:t>
      </w:r>
      <w:proofErr w:type="gramEnd"/>
      <w:r w:rsidRPr="00E7256C">
        <w:rPr>
          <w:rFonts w:ascii="Times New Roman" w:hAnsi="Times New Roman"/>
          <w:color w:val="auto"/>
          <w:sz w:val="22"/>
          <w:szCs w:val="22"/>
        </w:rPr>
        <w:t xml:space="preserve"> registered during the Covid pandemic and subsequent recovery. The largest Path surprise is February 2022, when it became clear that a hiking cycle had begun, and that the indicative Bank Rate threshold that the MPC had set to start reversing QE was nearer than previously thought. Very interestingly, the largest QE surprise does not correspond to the first QE round of 2009, which had been amply communicated in advance, and is instead associated with the additional £200 </w:t>
      </w:r>
      <w:proofErr w:type="spellStart"/>
      <w:r w:rsidRPr="00E7256C">
        <w:rPr>
          <w:rFonts w:ascii="Times New Roman" w:hAnsi="Times New Roman"/>
          <w:color w:val="auto"/>
          <w:sz w:val="22"/>
          <w:szCs w:val="22"/>
        </w:rPr>
        <w:t>billion</w:t>
      </w:r>
      <w:proofErr w:type="spellEnd"/>
      <w:r w:rsidRPr="00E7256C">
        <w:rPr>
          <w:rFonts w:ascii="Times New Roman" w:hAnsi="Times New Roman"/>
          <w:color w:val="auto"/>
          <w:sz w:val="22"/>
          <w:szCs w:val="22"/>
        </w:rPr>
        <w:t xml:space="preserve"> of asset purchases that were announced in March of 2020 after the UK economy had entered its first lockdown. </w:t>
      </w:r>
    </w:p>
    <w:p w14:paraId="3408978B" w14:textId="77777777" w:rsidR="00654BF6" w:rsidRPr="00E7256C" w:rsidRDefault="00654BF6" w:rsidP="00E7256C">
      <w:pPr>
        <w:pStyle w:val="p1"/>
        <w:spacing w:line="360" w:lineRule="auto"/>
        <w:rPr>
          <w:rFonts w:ascii="Times New Roman" w:hAnsi="Times New Roman"/>
          <w:color w:val="auto"/>
          <w:sz w:val="22"/>
          <w:szCs w:val="22"/>
        </w:rPr>
      </w:pPr>
    </w:p>
    <w:p w14:paraId="7678216F" w14:textId="13BC83B3" w:rsidR="00031FC9" w:rsidRPr="008A676F" w:rsidRDefault="00654BF6" w:rsidP="008A676F">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 xml:space="preserve">UK short-term rate surprises tend to be </w:t>
      </w:r>
      <w:proofErr w:type="gramStart"/>
      <w:r w:rsidRPr="008A676F">
        <w:rPr>
          <w:rFonts w:ascii="Times New Roman" w:hAnsi="Times New Roman"/>
          <w:color w:val="auto"/>
          <w:sz w:val="22"/>
          <w:szCs w:val="22"/>
        </w:rPr>
        <w:t>heavier-tailed</w:t>
      </w:r>
      <w:proofErr w:type="gramEnd"/>
      <w:r w:rsidRPr="008A676F">
        <w:rPr>
          <w:rFonts w:ascii="Times New Roman" w:hAnsi="Times New Roman"/>
          <w:color w:val="auto"/>
          <w:sz w:val="22"/>
          <w:szCs w:val="22"/>
        </w:rPr>
        <w:t xml:space="preserve"> than in the US and the EA. This is especially true in the period around the financial crisis of 2008, where the UK registered the sharpest moves in the front-end, potentially reflecting somewhat higher uncertainty around policy relative to the other regions. Conversely, large Path and QE surprises seem to be more prevalent for the US and EA respectively, which may reflect di</w:t>
      </w:r>
      <w:r w:rsidR="00E7256C" w:rsidRPr="008A676F">
        <w:rPr>
          <w:rFonts w:ascii="Times New Roman" w:hAnsi="Times New Roman"/>
          <w:color w:val="auto"/>
          <w:sz w:val="22"/>
          <w:szCs w:val="22"/>
        </w:rPr>
        <w:t>ff</w:t>
      </w:r>
      <w:r w:rsidRPr="008A676F">
        <w:rPr>
          <w:rFonts w:ascii="Times New Roman" w:hAnsi="Times New Roman"/>
          <w:color w:val="auto"/>
          <w:sz w:val="22"/>
          <w:szCs w:val="22"/>
        </w:rPr>
        <w:t>erent combinations of policy tools used by the three central banks</w:t>
      </w:r>
      <w:r w:rsidR="00E7256C" w:rsidRPr="008A676F">
        <w:rPr>
          <w:rFonts w:ascii="Times New Roman" w:hAnsi="Times New Roman"/>
          <w:color w:val="auto"/>
          <w:sz w:val="22"/>
          <w:szCs w:val="22"/>
        </w:rPr>
        <w:t>.</w:t>
      </w:r>
    </w:p>
    <w:p w14:paraId="42151B7B" w14:textId="77777777" w:rsidR="00031FC9" w:rsidRPr="008A676F" w:rsidRDefault="00031FC9" w:rsidP="008A676F">
      <w:pPr>
        <w:spacing w:after="0" w:line="360" w:lineRule="auto"/>
        <w:rPr>
          <w:rFonts w:ascii="Times New Roman" w:eastAsia="Times New Roman" w:hAnsi="Times New Roman" w:cs="Times New Roman"/>
          <w:kern w:val="0"/>
          <w:sz w:val="22"/>
          <w:szCs w:val="22"/>
          <w:lang w:eastAsia="en-GB"/>
          <w14:ligatures w14:val="none"/>
        </w:rPr>
      </w:pPr>
      <w:r w:rsidRPr="008A676F">
        <w:rPr>
          <w:rFonts w:ascii="Times New Roman" w:hAnsi="Times New Roman" w:cs="Times New Roman"/>
          <w:sz w:val="22"/>
          <w:szCs w:val="22"/>
        </w:rPr>
        <w:br w:type="page"/>
      </w:r>
    </w:p>
    <w:p w14:paraId="505A9FB5" w14:textId="3FADB88C" w:rsidR="00031FC9" w:rsidRPr="008A676F" w:rsidRDefault="00031FC9" w:rsidP="008A676F">
      <w:pPr>
        <w:pStyle w:val="p1"/>
        <w:spacing w:line="360" w:lineRule="auto"/>
        <w:rPr>
          <w:rFonts w:ascii="Times New Roman" w:hAnsi="Times New Roman"/>
          <w:b/>
          <w:bCs/>
          <w:color w:val="auto"/>
          <w:sz w:val="22"/>
          <w:szCs w:val="22"/>
        </w:rPr>
      </w:pPr>
      <w:r w:rsidRPr="008A676F">
        <w:rPr>
          <w:rFonts w:ascii="Times New Roman" w:hAnsi="Times New Roman"/>
          <w:b/>
          <w:bCs/>
          <w:color w:val="auto"/>
          <w:sz w:val="22"/>
          <w:szCs w:val="22"/>
        </w:rPr>
        <w:lastRenderedPageBreak/>
        <w:t>Results:</w:t>
      </w:r>
    </w:p>
    <w:p w14:paraId="33A9CA24" w14:textId="0E6B4D16" w:rsidR="002159F0" w:rsidRPr="008A676F" w:rsidRDefault="00031FC9" w:rsidP="008A676F">
      <w:pPr>
        <w:pStyle w:val="p1"/>
        <w:spacing w:line="360" w:lineRule="auto"/>
        <w:rPr>
          <w:rFonts w:ascii="Times New Roman" w:hAnsi="Times New Roman"/>
          <w:color w:val="auto"/>
          <w:sz w:val="22"/>
          <w:szCs w:val="22"/>
        </w:rPr>
      </w:pPr>
      <w:r w:rsidRPr="008A676F">
        <w:rPr>
          <w:rFonts w:ascii="Times New Roman" w:hAnsi="Times New Roman"/>
          <w:noProof/>
          <w:color w:val="auto"/>
          <w:sz w:val="22"/>
          <w:szCs w:val="22"/>
        </w:rPr>
        <w:drawing>
          <wp:inline distT="0" distB="0" distL="0" distR="0" wp14:anchorId="1D43EE17" wp14:editId="42EC1C17">
            <wp:extent cx="3165231" cy="279491"/>
            <wp:effectExtent l="0" t="0" r="0" b="0"/>
            <wp:docPr id="18106623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62384" name="Picture 181066238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57696" cy="287656"/>
                    </a:xfrm>
                    <a:prstGeom prst="rect">
                      <a:avLst/>
                    </a:prstGeom>
                  </pic:spPr>
                </pic:pic>
              </a:graphicData>
            </a:graphic>
          </wp:inline>
        </w:drawing>
      </w:r>
    </w:p>
    <w:p w14:paraId="660836ED" w14:textId="2C3B6E67" w:rsidR="00031FC9" w:rsidRPr="008A676F" w:rsidRDefault="00031FC9" w:rsidP="008A676F">
      <w:pPr>
        <w:spacing w:after="0" w:line="360" w:lineRule="auto"/>
        <w:rPr>
          <w:rFonts w:ascii="Times New Roman" w:eastAsia="Times New Roman" w:hAnsi="Times New Roman" w:cs="Times New Roman"/>
          <w:kern w:val="0"/>
          <w:sz w:val="22"/>
          <w:szCs w:val="22"/>
          <w:lang w:eastAsia="en-GB"/>
          <w14:ligatures w14:val="none"/>
        </w:rPr>
      </w:pPr>
      <w:r w:rsidRPr="008A676F">
        <w:rPr>
          <w:rFonts w:ascii="Times New Roman" w:eastAsia="Times New Roman" w:hAnsi="Times New Roman" w:cs="Times New Roman"/>
          <w:kern w:val="0"/>
          <w:sz w:val="22"/>
          <w:szCs w:val="22"/>
          <w:lang w:eastAsia="en-GB"/>
          <w14:ligatures w14:val="none"/>
        </w:rPr>
        <w:t>where change(y</w:t>
      </w:r>
      <w:r w:rsidR="008A676F">
        <w:rPr>
          <w:rFonts w:ascii="Times New Roman" w:eastAsia="Times New Roman" w:hAnsi="Times New Roman" w:cs="Times New Roman"/>
          <w:kern w:val="0"/>
          <w:sz w:val="22"/>
          <w:szCs w:val="22"/>
          <w:vertAlign w:val="subscript"/>
          <w:lang w:eastAsia="en-GB"/>
          <w14:ligatures w14:val="none"/>
        </w:rPr>
        <w:t>t</w:t>
      </w:r>
      <w:r w:rsidRPr="008A676F">
        <w:rPr>
          <w:rFonts w:ascii="Times New Roman" w:eastAsia="Times New Roman" w:hAnsi="Times New Roman" w:cs="Times New Roman"/>
          <w:kern w:val="0"/>
          <w:sz w:val="22"/>
          <w:szCs w:val="22"/>
          <w:lang w:eastAsia="en-GB"/>
          <w14:ligatures w14:val="none"/>
        </w:rPr>
        <w:t>) denotes the daily or intradaily change in the relevant asset price, and Target</w:t>
      </w:r>
      <w:r w:rsidR="008A676F">
        <w:rPr>
          <w:rFonts w:ascii="Times New Roman" w:eastAsia="Times New Roman" w:hAnsi="Times New Roman" w:cs="Times New Roman"/>
          <w:kern w:val="0"/>
          <w:sz w:val="22"/>
          <w:szCs w:val="22"/>
          <w:vertAlign w:val="subscript"/>
          <w:lang w:eastAsia="en-GB"/>
          <w14:ligatures w14:val="none"/>
        </w:rPr>
        <w:t>t</w:t>
      </w:r>
      <w:r w:rsidRPr="008A676F">
        <w:rPr>
          <w:rFonts w:ascii="Times New Roman" w:eastAsia="Times New Roman" w:hAnsi="Times New Roman" w:cs="Times New Roman"/>
          <w:kern w:val="0"/>
          <w:sz w:val="22"/>
          <w:szCs w:val="22"/>
          <w:lang w:eastAsia="en-GB"/>
          <w14:ligatures w14:val="none"/>
        </w:rPr>
        <w:t>, Path</w:t>
      </w:r>
      <w:r w:rsidR="008A676F">
        <w:rPr>
          <w:rFonts w:ascii="Times New Roman" w:eastAsia="Times New Roman" w:hAnsi="Times New Roman" w:cs="Times New Roman"/>
          <w:kern w:val="0"/>
          <w:sz w:val="22"/>
          <w:szCs w:val="22"/>
          <w:vertAlign w:val="subscript"/>
          <w:lang w:eastAsia="en-GB"/>
          <w14:ligatures w14:val="none"/>
        </w:rPr>
        <w:t>t</w:t>
      </w:r>
      <w:r w:rsidR="008A676F">
        <w:rPr>
          <w:rFonts w:ascii="Times New Roman" w:eastAsia="Times New Roman" w:hAnsi="Times New Roman" w:cs="Times New Roman"/>
          <w:kern w:val="0"/>
          <w:sz w:val="22"/>
          <w:szCs w:val="22"/>
          <w:lang w:eastAsia="en-GB"/>
          <w14:ligatures w14:val="none"/>
        </w:rPr>
        <w:t xml:space="preserve"> </w:t>
      </w:r>
      <w:r w:rsidRPr="008A676F">
        <w:rPr>
          <w:rFonts w:ascii="Times New Roman" w:eastAsia="Times New Roman" w:hAnsi="Times New Roman" w:cs="Times New Roman"/>
          <w:kern w:val="0"/>
          <w:sz w:val="22"/>
          <w:szCs w:val="22"/>
          <w:lang w:eastAsia="en-GB"/>
          <w14:ligatures w14:val="none"/>
        </w:rPr>
        <w:t>and QE</w:t>
      </w:r>
      <w:r w:rsidR="008A676F">
        <w:rPr>
          <w:rFonts w:ascii="Times New Roman" w:eastAsia="Times New Roman" w:hAnsi="Times New Roman" w:cs="Times New Roman"/>
          <w:kern w:val="0"/>
          <w:sz w:val="22"/>
          <w:szCs w:val="22"/>
          <w:vertAlign w:val="subscript"/>
          <w:lang w:eastAsia="en-GB"/>
          <w14:ligatures w14:val="none"/>
        </w:rPr>
        <w:t>t</w:t>
      </w:r>
      <w:r w:rsidRPr="008A676F">
        <w:rPr>
          <w:rFonts w:ascii="Times New Roman" w:eastAsia="Times New Roman" w:hAnsi="Times New Roman" w:cs="Times New Roman"/>
          <w:kern w:val="0"/>
          <w:sz w:val="22"/>
          <w:szCs w:val="22"/>
          <w:lang w:eastAsia="en-GB"/>
          <w14:ligatures w14:val="none"/>
        </w:rPr>
        <w:t xml:space="preserve"> are the monetary policy factors all normalised such that an increase in the factor corresponds to a tightening of the monetary policy stance.</w:t>
      </w:r>
    </w:p>
    <w:p w14:paraId="30754D89" w14:textId="77777777" w:rsidR="00031FC9" w:rsidRPr="008A676F" w:rsidRDefault="00031FC9" w:rsidP="008A676F">
      <w:pPr>
        <w:spacing w:after="0" w:line="360" w:lineRule="auto"/>
        <w:rPr>
          <w:rFonts w:ascii="Times New Roman" w:eastAsia="Times New Roman" w:hAnsi="Times New Roman" w:cs="Times New Roman"/>
          <w:kern w:val="0"/>
          <w:sz w:val="22"/>
          <w:szCs w:val="22"/>
          <w:lang w:eastAsia="en-GB"/>
          <w14:ligatures w14:val="none"/>
        </w:rPr>
      </w:pPr>
    </w:p>
    <w:p w14:paraId="114AE016" w14:textId="420EF33E" w:rsidR="00031FC9" w:rsidRPr="008A676F" w:rsidRDefault="00031FC9" w:rsidP="008A676F">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Using a narrow measurement window guarantees that, absent other contemporaneous events, the monetary policy surprises (and related factors) measure the extent to which the decision was interpreted as a surprise, or news, by market participants. However, whether that price revision can be used to proxy for a monetary policy shock is a different matter. As noted earlier, confounding factors such as information effects may still be present.</w:t>
      </w:r>
    </w:p>
    <w:p w14:paraId="00CEB14B" w14:textId="407C367C" w:rsidR="00184D25" w:rsidRPr="008A676F" w:rsidRDefault="00184D25" w:rsidP="008A676F">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w:t>
      </w:r>
      <w:r w:rsidRPr="008A676F">
        <w:rPr>
          <w:rStyle w:val="bzpyqfadein"/>
          <w:rFonts w:ascii="Times New Roman" w:hAnsi="Times New Roman"/>
          <w:color w:val="auto"/>
          <w:sz w:val="22"/>
          <w:szCs w:val="22"/>
        </w:rPr>
        <w:t>Information</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effects</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occur</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when</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central</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bank</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announcements</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reveal</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new</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information</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about</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the</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economy,</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causing</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stocks</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and</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yields</w:t>
      </w:r>
      <w:r w:rsidRPr="008A676F">
        <w:rPr>
          <w:rStyle w:val="apple-converted-space"/>
          <w:rFonts w:ascii="Times New Roman" w:hAnsi="Times New Roman"/>
          <w:color w:val="auto"/>
          <w:sz w:val="22"/>
          <w:szCs w:val="22"/>
        </w:rPr>
        <w:t xml:space="preserve"> t</w:t>
      </w:r>
      <w:r w:rsidRPr="008A676F">
        <w:rPr>
          <w:rStyle w:val="bzpyqfadein"/>
          <w:rFonts w:ascii="Times New Roman" w:hAnsi="Times New Roman"/>
          <w:color w:val="auto"/>
          <w:sz w:val="22"/>
          <w:szCs w:val="22"/>
        </w:rPr>
        <w:t>o</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move</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in</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the</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same</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direction,</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which</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contaminates</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identification</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of</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true</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monetary</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policy</w:t>
      </w:r>
      <w:r w:rsidRPr="008A676F">
        <w:rPr>
          <w:rStyle w:val="apple-converted-space"/>
          <w:rFonts w:ascii="Times New Roman" w:hAnsi="Times New Roman"/>
          <w:color w:val="auto"/>
          <w:sz w:val="22"/>
          <w:szCs w:val="22"/>
        </w:rPr>
        <w:t xml:space="preserve"> </w:t>
      </w:r>
      <w:r w:rsidRPr="008A676F">
        <w:rPr>
          <w:rStyle w:val="bzpyqfadein"/>
          <w:rFonts w:ascii="Times New Roman" w:hAnsi="Times New Roman"/>
          <w:color w:val="auto"/>
          <w:sz w:val="22"/>
          <w:szCs w:val="22"/>
        </w:rPr>
        <w:t>shocks)</w:t>
      </w:r>
    </w:p>
    <w:p w14:paraId="5BE0A393" w14:textId="77777777" w:rsidR="00031FC9" w:rsidRPr="008A676F" w:rsidRDefault="00031FC9" w:rsidP="008A676F">
      <w:pPr>
        <w:pStyle w:val="p1"/>
        <w:spacing w:line="360" w:lineRule="auto"/>
        <w:rPr>
          <w:rFonts w:ascii="Times New Roman" w:hAnsi="Times New Roman"/>
          <w:color w:val="auto"/>
          <w:sz w:val="22"/>
          <w:szCs w:val="22"/>
        </w:rPr>
      </w:pPr>
    </w:p>
    <w:p w14:paraId="3C639162" w14:textId="78430457" w:rsidR="00031FC9" w:rsidRPr="008A676F" w:rsidRDefault="00031FC9" w:rsidP="008A676F">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Monetary policy news days are those where the high-frequency correlation between each of the extracted factors and the FTSE 250 index is negative</w:t>
      </w:r>
    </w:p>
    <w:p w14:paraId="33FF1A92" w14:textId="2E3C6BF8" w:rsidR="00184D25" w:rsidRPr="008A676F" w:rsidRDefault="00184D25" w:rsidP="008A676F">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Positive corr</w:t>
      </w:r>
      <w:r w:rsidR="00397AC1">
        <w:rPr>
          <w:rFonts w:ascii="Times New Roman" w:hAnsi="Times New Roman"/>
          <w:color w:val="auto"/>
          <w:sz w:val="22"/>
          <w:szCs w:val="22"/>
        </w:rPr>
        <w:t>elation</w:t>
      </w:r>
      <w:r w:rsidRPr="008A676F">
        <w:rPr>
          <w:rFonts w:ascii="Times New Roman" w:hAnsi="Times New Roman"/>
          <w:color w:val="auto"/>
          <w:sz w:val="22"/>
          <w:szCs w:val="22"/>
        </w:rPr>
        <w:t xml:space="preserve"> =&gt; info</w:t>
      </w:r>
      <w:r w:rsidR="00397AC1">
        <w:rPr>
          <w:rFonts w:ascii="Times New Roman" w:hAnsi="Times New Roman"/>
          <w:color w:val="auto"/>
          <w:sz w:val="22"/>
          <w:szCs w:val="22"/>
        </w:rPr>
        <w:t>rmation</w:t>
      </w:r>
      <w:r w:rsidRPr="008A676F">
        <w:rPr>
          <w:rFonts w:ascii="Times New Roman" w:hAnsi="Times New Roman"/>
          <w:color w:val="auto"/>
          <w:sz w:val="22"/>
          <w:szCs w:val="22"/>
        </w:rPr>
        <w:t xml:space="preserve"> effect</w:t>
      </w:r>
    </w:p>
    <w:p w14:paraId="68A22D09" w14:textId="77777777" w:rsidR="00184D25" w:rsidRPr="008A676F" w:rsidRDefault="00184D25" w:rsidP="008A676F">
      <w:pPr>
        <w:pStyle w:val="p1"/>
        <w:spacing w:line="360" w:lineRule="auto"/>
        <w:rPr>
          <w:rFonts w:ascii="Times New Roman" w:hAnsi="Times New Roman"/>
          <w:color w:val="auto"/>
          <w:sz w:val="22"/>
          <w:szCs w:val="22"/>
        </w:rPr>
      </w:pPr>
    </w:p>
    <w:p w14:paraId="00F238FE" w14:textId="1DD586D8" w:rsidR="00184D25" w:rsidRPr="008A676F" w:rsidRDefault="00184D25" w:rsidP="008A676F">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Compare BoE with FED and ECB – BoE more transparent like ECB =&gt; Info effects more present than in FED</w:t>
      </w:r>
    </w:p>
    <w:p w14:paraId="25582E12" w14:textId="77777777" w:rsidR="00031FC9" w:rsidRPr="008A676F" w:rsidRDefault="00031FC9" w:rsidP="008A676F">
      <w:pPr>
        <w:pStyle w:val="p1"/>
        <w:spacing w:line="360" w:lineRule="auto"/>
        <w:rPr>
          <w:rFonts w:ascii="Times New Roman" w:hAnsi="Times New Roman"/>
          <w:color w:val="auto"/>
          <w:sz w:val="22"/>
          <w:szCs w:val="22"/>
        </w:rPr>
      </w:pPr>
    </w:p>
    <w:p w14:paraId="3DE5F154" w14:textId="1AC04877" w:rsidR="00184D25" w:rsidRPr="008A676F" w:rsidRDefault="00184D25" w:rsidP="008A676F">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 xml:space="preserve">Consistently, we find that like for the ECB, a little over half of the BOE surprises </w:t>
      </w:r>
      <w:proofErr w:type="gramStart"/>
      <w:r w:rsidRPr="008A676F">
        <w:rPr>
          <w:rFonts w:ascii="Times New Roman" w:hAnsi="Times New Roman"/>
          <w:color w:val="auto"/>
          <w:sz w:val="22"/>
          <w:szCs w:val="22"/>
        </w:rPr>
        <w:t>are</w:t>
      </w:r>
      <w:proofErr w:type="gramEnd"/>
      <w:r w:rsidRPr="008A676F">
        <w:rPr>
          <w:rFonts w:ascii="Times New Roman" w:hAnsi="Times New Roman"/>
          <w:color w:val="auto"/>
          <w:sz w:val="22"/>
          <w:szCs w:val="22"/>
        </w:rPr>
        <w:t xml:space="preserve"> classified as monetary policy events, with the share raising to 60% for Bank Rate announcements.</w:t>
      </w:r>
    </w:p>
    <w:p w14:paraId="385D87AC" w14:textId="40DC01DF" w:rsidR="00700F73" w:rsidRDefault="00700F73">
      <w:pPr>
        <w:rPr>
          <w:rFonts w:ascii="Times New Roman" w:hAnsi="Times New Roman" w:cs="Times New Roman"/>
          <w:kern w:val="0"/>
          <w:sz w:val="22"/>
          <w:szCs w:val="22"/>
        </w:rPr>
      </w:pPr>
      <w:r>
        <w:rPr>
          <w:rFonts w:ascii="Times New Roman" w:hAnsi="Times New Roman" w:cs="Times New Roman"/>
          <w:kern w:val="0"/>
          <w:sz w:val="22"/>
          <w:szCs w:val="22"/>
        </w:rPr>
        <w:br w:type="page"/>
      </w:r>
    </w:p>
    <w:p w14:paraId="4408FFA3" w14:textId="77777777" w:rsidR="00972F1A" w:rsidRPr="00972F1A" w:rsidRDefault="00972F1A" w:rsidP="00972F1A">
      <w:pPr>
        <w:spacing w:after="0" w:line="360" w:lineRule="auto"/>
        <w:rPr>
          <w:rFonts w:ascii="Times New Roman" w:hAnsi="Times New Roman" w:cs="Times New Roman"/>
          <w:kern w:val="0"/>
          <w:sz w:val="22"/>
          <w:szCs w:val="22"/>
          <w:u w:val="single"/>
        </w:rPr>
      </w:pPr>
      <w:r w:rsidRPr="00972F1A">
        <w:rPr>
          <w:rFonts w:ascii="Times New Roman" w:hAnsi="Times New Roman" w:cs="Times New Roman"/>
          <w:kern w:val="0"/>
          <w:sz w:val="22"/>
          <w:szCs w:val="22"/>
          <w:u w:val="single"/>
        </w:rPr>
        <w:lastRenderedPageBreak/>
        <w:t>2009 QE</w:t>
      </w:r>
    </w:p>
    <w:p w14:paraId="13554CCE" w14:textId="77777777" w:rsidR="00972F1A" w:rsidRDefault="00972F1A" w:rsidP="00972F1A">
      <w:pPr>
        <w:spacing w:after="0" w:line="360" w:lineRule="auto"/>
        <w:rPr>
          <w:rFonts w:ascii="Times New Roman" w:hAnsi="Times New Roman" w:cs="Times New Roman"/>
          <w:sz w:val="22"/>
          <w:szCs w:val="22"/>
        </w:rPr>
      </w:pPr>
      <w:r w:rsidRPr="00972F1A">
        <w:rPr>
          <w:rStyle w:val="bzpyqfadein"/>
          <w:rFonts w:ascii="Times New Roman" w:hAnsi="Times New Roman" w:cs="Times New Roman"/>
          <w:b/>
          <w:bCs/>
          <w:sz w:val="22"/>
          <w:szCs w:val="22"/>
        </w:rPr>
        <w:t>Started:</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March 2009</w:t>
      </w:r>
      <w:r w:rsidRPr="00972F1A">
        <w:rPr>
          <w:rFonts w:ascii="Times New Roman" w:hAnsi="Times New Roman" w:cs="Times New Roman"/>
          <w:sz w:val="22"/>
          <w:szCs w:val="22"/>
        </w:rPr>
        <w:t xml:space="preserve"> </w:t>
      </w:r>
    </w:p>
    <w:p w14:paraId="0E286EA3" w14:textId="52CCBC01" w:rsidR="00972F1A" w:rsidRPr="00972F1A" w:rsidRDefault="00972F1A" w:rsidP="00972F1A">
      <w:pPr>
        <w:spacing w:after="0" w:line="360" w:lineRule="auto"/>
        <w:rPr>
          <w:rStyle w:val="bzpyqfadein"/>
          <w:rFonts w:ascii="Times New Roman" w:hAnsi="Times New Roman" w:cs="Times New Roman"/>
          <w:b/>
          <w:bCs/>
          <w:sz w:val="22"/>
          <w:szCs w:val="22"/>
        </w:rPr>
      </w:pPr>
      <w:r w:rsidRPr="00972F1A">
        <w:rPr>
          <w:rStyle w:val="bzpyqfadein"/>
          <w:rFonts w:ascii="Times New Roman" w:hAnsi="Times New Roman" w:cs="Times New Roman"/>
          <w:b/>
          <w:bCs/>
          <w:sz w:val="22"/>
          <w:szCs w:val="22"/>
        </w:rPr>
        <w:t>Initial</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size: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£75</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billion</w:t>
      </w:r>
    </w:p>
    <w:p w14:paraId="3B7BADA8" w14:textId="77777777" w:rsidR="00972F1A" w:rsidRPr="00972F1A" w:rsidRDefault="00972F1A" w:rsidP="00972F1A">
      <w:pPr>
        <w:spacing w:after="0" w:line="360" w:lineRule="auto"/>
        <w:rPr>
          <w:rStyle w:val="bzpyqfadein"/>
          <w:rFonts w:ascii="Times New Roman" w:hAnsi="Times New Roman" w:cs="Times New Roman"/>
          <w:kern w:val="0"/>
          <w:sz w:val="22"/>
          <w:szCs w:val="22"/>
          <w:u w:val="single"/>
        </w:rPr>
      </w:pPr>
      <w:r w:rsidRPr="00972F1A">
        <w:rPr>
          <w:rStyle w:val="bzpyqfadein"/>
          <w:rFonts w:ascii="Times New Roman" w:hAnsi="Times New Roman" w:cs="Times New Roman"/>
          <w:b/>
          <w:bCs/>
          <w:sz w:val="22"/>
          <w:szCs w:val="22"/>
        </w:rPr>
        <w:t>Policy</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rate</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at</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the</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time: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0.5% (effective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lower</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bound)</w:t>
      </w:r>
    </w:p>
    <w:p w14:paraId="0B0BE5B3" w14:textId="2DB33EEE" w:rsidR="00972F1A" w:rsidRDefault="00972F1A" w:rsidP="00972F1A">
      <w:pPr>
        <w:spacing w:after="0" w:line="360" w:lineRule="auto"/>
        <w:rPr>
          <w:rStyle w:val="bzpyqfadein"/>
          <w:rFonts w:ascii="Times New Roman" w:hAnsi="Times New Roman" w:cs="Times New Roman"/>
          <w:sz w:val="22"/>
          <w:szCs w:val="22"/>
        </w:rPr>
      </w:pPr>
      <w:r w:rsidRPr="00972F1A">
        <w:rPr>
          <w:rStyle w:val="bzpyqfadein"/>
          <w:rFonts w:ascii="Times New Roman" w:hAnsi="Times New Roman" w:cs="Times New Roman"/>
          <w:b/>
          <w:bCs/>
          <w:sz w:val="22"/>
          <w:szCs w:val="22"/>
        </w:rPr>
        <w:t>Purpose: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stimulate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the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economy</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when</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conventional</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policy (rate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cuts)</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could</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no</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longer</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do</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much.</w:t>
      </w:r>
    </w:p>
    <w:p w14:paraId="266E5A09" w14:textId="1BF6BF83" w:rsidR="00972F1A" w:rsidRPr="00972F1A" w:rsidRDefault="00972F1A" w:rsidP="00972F1A">
      <w:pPr>
        <w:spacing w:after="0" w:line="360" w:lineRule="auto"/>
        <w:rPr>
          <w:rStyle w:val="bzpyqfadein"/>
          <w:rFonts w:ascii="Times New Roman" w:hAnsi="Times New Roman" w:cs="Times New Roman"/>
          <w:kern w:val="0"/>
          <w:sz w:val="22"/>
          <w:szCs w:val="22"/>
          <w:u w:val="single"/>
        </w:rPr>
      </w:pPr>
      <w:r>
        <w:rPr>
          <w:rFonts w:ascii="Times New Roman" w:hAnsi="Times New Roman" w:cs="Times New Roman"/>
          <w:noProof/>
          <w:kern w:val="0"/>
          <w:sz w:val="22"/>
          <w:szCs w:val="22"/>
          <w:u w:val="single"/>
        </w:rPr>
        <w:drawing>
          <wp:inline distT="0" distB="0" distL="0" distR="0" wp14:anchorId="641DCDDE" wp14:editId="02DCA59C">
            <wp:extent cx="5943600" cy="1365250"/>
            <wp:effectExtent l="0" t="0" r="0" b="6350"/>
            <wp:docPr id="18128749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74966" name="Picture 1" descr="A screenshot of a pho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365250"/>
                    </a:xfrm>
                    <a:prstGeom prst="rect">
                      <a:avLst/>
                    </a:prstGeom>
                  </pic:spPr>
                </pic:pic>
              </a:graphicData>
            </a:graphic>
          </wp:inline>
        </w:drawing>
      </w:r>
    </w:p>
    <w:p w14:paraId="2EFAAA22" w14:textId="77777777" w:rsidR="00972F1A" w:rsidRDefault="00972F1A" w:rsidP="00972F1A">
      <w:pPr>
        <w:spacing w:after="0" w:line="360" w:lineRule="auto"/>
        <w:rPr>
          <w:rStyle w:val="bzpyqfadein"/>
          <w:rFonts w:ascii="Times New Roman" w:hAnsi="Times New Roman" w:cs="Times New Roman"/>
          <w:kern w:val="0"/>
          <w:sz w:val="22"/>
          <w:szCs w:val="22"/>
          <w:u w:val="single"/>
        </w:rPr>
      </w:pPr>
    </w:p>
    <w:p w14:paraId="566DC85F" w14:textId="77777777" w:rsidR="00972F1A" w:rsidRPr="00972F1A" w:rsidRDefault="00972F1A" w:rsidP="00972F1A">
      <w:pPr>
        <w:spacing w:after="0" w:line="360" w:lineRule="auto"/>
        <w:rPr>
          <w:rStyle w:val="bzpyqfadein"/>
          <w:rFonts w:ascii="Times New Roman" w:hAnsi="Times New Roman" w:cs="Times New Roman"/>
          <w:kern w:val="0"/>
          <w:sz w:val="22"/>
          <w:szCs w:val="22"/>
          <w:u w:val="single"/>
        </w:rPr>
      </w:pPr>
    </w:p>
    <w:p w14:paraId="53277DF7" w14:textId="77777777" w:rsidR="00972F1A" w:rsidRDefault="00972F1A" w:rsidP="00972F1A">
      <w:pPr>
        <w:spacing w:after="0" w:line="360" w:lineRule="auto"/>
        <w:rPr>
          <w:rFonts w:ascii="Times New Roman" w:hAnsi="Times New Roman" w:cs="Times New Roman"/>
          <w:kern w:val="0"/>
          <w:sz w:val="22"/>
          <w:szCs w:val="22"/>
          <w:u w:val="single"/>
        </w:rPr>
      </w:pPr>
    </w:p>
    <w:p w14:paraId="1294508C" w14:textId="77777777" w:rsidR="00AC50B4" w:rsidRDefault="00AC50B4">
      <w:pPr>
        <w:rPr>
          <w:rFonts w:ascii="Times New Roman" w:hAnsi="Times New Roman" w:cs="Times New Roman"/>
          <w:kern w:val="0"/>
          <w:sz w:val="22"/>
          <w:szCs w:val="22"/>
          <w:u w:val="single"/>
        </w:rPr>
      </w:pPr>
      <w:r>
        <w:rPr>
          <w:rFonts w:ascii="Times New Roman" w:hAnsi="Times New Roman" w:cs="Times New Roman"/>
          <w:kern w:val="0"/>
          <w:sz w:val="22"/>
          <w:szCs w:val="22"/>
          <w:u w:val="single"/>
        </w:rPr>
        <w:br w:type="page"/>
      </w:r>
    </w:p>
    <w:p w14:paraId="2833022B" w14:textId="0D30575D" w:rsidR="00AC50B4" w:rsidRDefault="00AC50B4" w:rsidP="00972F1A">
      <w:pPr>
        <w:spacing w:after="0" w:line="360" w:lineRule="auto"/>
        <w:rPr>
          <w:rFonts w:ascii="Times New Roman" w:hAnsi="Times New Roman" w:cs="Times New Roman"/>
          <w:kern w:val="0"/>
          <w:sz w:val="22"/>
          <w:szCs w:val="22"/>
          <w:u w:val="single"/>
        </w:rPr>
      </w:pPr>
      <w:r>
        <w:rPr>
          <w:rFonts w:ascii="Times New Roman" w:hAnsi="Times New Roman" w:cs="Times New Roman"/>
          <w:kern w:val="0"/>
          <w:sz w:val="22"/>
          <w:szCs w:val="22"/>
          <w:u w:val="single"/>
        </w:rPr>
        <w:lastRenderedPageBreak/>
        <w:t>August 2016 (Post Brexit)</w:t>
      </w:r>
    </w:p>
    <w:p w14:paraId="564A145B" w14:textId="6C4342D0" w:rsidR="00AC50B4" w:rsidRPr="00AC50B4" w:rsidRDefault="00AC50B4" w:rsidP="00AC50B4">
      <w:pPr>
        <w:pStyle w:val="p1"/>
        <w:spacing w:line="360" w:lineRule="auto"/>
        <w:rPr>
          <w:rFonts w:ascii="Times New Roman" w:hAnsi="Times New Roman"/>
          <w:sz w:val="22"/>
          <w:szCs w:val="22"/>
        </w:rPr>
      </w:pPr>
      <w:r w:rsidRPr="00AC50B4">
        <w:rPr>
          <w:rFonts w:ascii="Times New Roman" w:hAnsi="Times New Roman"/>
          <w:sz w:val="22"/>
          <w:szCs w:val="22"/>
        </w:rPr>
        <w:t>“most members of the Committee expect monetary policy to be loosened in August. The precise size and nature of any stimulatory measures will be determined during the August forecast and Inflation Report round”</w:t>
      </w:r>
      <w:r>
        <w:rPr>
          <w:rFonts w:ascii="Times New Roman" w:hAnsi="Times New Roman"/>
          <w:sz w:val="22"/>
          <w:szCs w:val="22"/>
        </w:rPr>
        <w:t xml:space="preserve"> – </w:t>
      </w:r>
      <w:r w:rsidRPr="00AC50B4">
        <w:rPr>
          <w:rFonts w:ascii="Times New Roman" w:hAnsi="Times New Roman"/>
          <w:sz w:val="22"/>
          <w:szCs w:val="22"/>
        </w:rPr>
        <w:t xml:space="preserve">This included a new Term Funding Scheme to reinforce the pass-through of the Bank Rate cut; the purchase of up to £10 </w:t>
      </w:r>
      <w:proofErr w:type="spellStart"/>
      <w:r w:rsidRPr="00AC50B4">
        <w:rPr>
          <w:rFonts w:ascii="Times New Roman" w:hAnsi="Times New Roman"/>
          <w:sz w:val="22"/>
          <w:szCs w:val="22"/>
        </w:rPr>
        <w:t>billion</w:t>
      </w:r>
      <w:proofErr w:type="spellEnd"/>
      <w:r w:rsidRPr="00AC50B4">
        <w:rPr>
          <w:rFonts w:ascii="Times New Roman" w:hAnsi="Times New Roman"/>
          <w:sz w:val="22"/>
          <w:szCs w:val="22"/>
        </w:rPr>
        <w:t xml:space="preserve"> of UK corporate bonds; and an expansion of the asset purchase scheme for UK government bonds of £60 billion, taking the total stock of these asset purchases to £435 billion. </w:t>
      </w:r>
    </w:p>
    <w:p w14:paraId="32D6A31B" w14:textId="5D1710BA" w:rsidR="00AC50B4" w:rsidRDefault="006618B4" w:rsidP="00AC50B4">
      <w:pPr>
        <w:spacing w:after="0" w:line="360" w:lineRule="auto"/>
        <w:rPr>
          <w:rFonts w:ascii="Times New Roman" w:hAnsi="Times New Roman" w:cs="Times New Roman"/>
          <w:kern w:val="0"/>
          <w:sz w:val="22"/>
          <w:szCs w:val="22"/>
          <w:u w:val="single"/>
        </w:rPr>
      </w:pPr>
      <w:r w:rsidRPr="006618B4">
        <w:rPr>
          <w:rFonts w:ascii="Times New Roman" w:hAnsi="Times New Roman" w:cs="Times New Roman"/>
          <w:noProof/>
          <w:kern w:val="0"/>
          <w:sz w:val="22"/>
          <w:szCs w:val="22"/>
        </w:rPr>
        <w:drawing>
          <wp:inline distT="0" distB="0" distL="0" distR="0" wp14:anchorId="58E9A582" wp14:editId="0BAA72C1">
            <wp:extent cx="2362611" cy="1863970"/>
            <wp:effectExtent l="0" t="0" r="0" b="3175"/>
            <wp:docPr id="740498893" name="Picture 2"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98893" name="Picture 2" descr="A graph showing the growth of the stock marke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82413" cy="1879593"/>
                    </a:xfrm>
                    <a:prstGeom prst="rect">
                      <a:avLst/>
                    </a:prstGeom>
                  </pic:spPr>
                </pic:pic>
              </a:graphicData>
            </a:graphic>
          </wp:inline>
        </w:drawing>
      </w:r>
    </w:p>
    <w:p w14:paraId="07C201A0" w14:textId="77777777" w:rsidR="006618B4" w:rsidRDefault="006618B4" w:rsidP="00AC50B4">
      <w:pPr>
        <w:spacing w:after="0" w:line="360" w:lineRule="auto"/>
        <w:rPr>
          <w:rFonts w:ascii="Times New Roman" w:hAnsi="Times New Roman" w:cs="Times New Roman"/>
          <w:kern w:val="0"/>
          <w:sz w:val="22"/>
          <w:szCs w:val="22"/>
          <w:u w:val="single"/>
        </w:rPr>
      </w:pPr>
    </w:p>
    <w:p w14:paraId="444F3E94" w14:textId="2F208F54" w:rsidR="006618B4" w:rsidRDefault="006618B4">
      <w:pPr>
        <w:rPr>
          <w:rFonts w:ascii="Times New Roman" w:hAnsi="Times New Roman" w:cs="Times New Roman"/>
          <w:kern w:val="0"/>
          <w:sz w:val="22"/>
          <w:szCs w:val="22"/>
          <w:u w:val="single"/>
        </w:rPr>
      </w:pPr>
      <w:r>
        <w:rPr>
          <w:rFonts w:ascii="Times New Roman" w:hAnsi="Times New Roman" w:cs="Times New Roman"/>
          <w:kern w:val="0"/>
          <w:sz w:val="22"/>
          <w:szCs w:val="22"/>
          <w:u w:val="single"/>
        </w:rPr>
        <w:br w:type="page"/>
      </w:r>
    </w:p>
    <w:p w14:paraId="0F276202" w14:textId="4BBC59B2" w:rsidR="006618B4" w:rsidRDefault="006618B4" w:rsidP="004B310A">
      <w:pPr>
        <w:spacing w:after="0" w:line="360" w:lineRule="auto"/>
        <w:rPr>
          <w:rFonts w:ascii="Times New Roman" w:hAnsi="Times New Roman" w:cs="Times New Roman"/>
          <w:kern w:val="0"/>
          <w:sz w:val="22"/>
          <w:szCs w:val="22"/>
          <w:u w:val="single"/>
        </w:rPr>
      </w:pPr>
      <w:r>
        <w:rPr>
          <w:rFonts w:ascii="Times New Roman" w:hAnsi="Times New Roman" w:cs="Times New Roman"/>
          <w:kern w:val="0"/>
          <w:sz w:val="22"/>
          <w:szCs w:val="22"/>
          <w:u w:val="single"/>
        </w:rPr>
        <w:lastRenderedPageBreak/>
        <w:t>Covid</w:t>
      </w:r>
    </w:p>
    <w:p w14:paraId="6C163BE9" w14:textId="6EF421DB" w:rsidR="004B310A" w:rsidRPr="004B310A" w:rsidRDefault="006618B4" w:rsidP="004B310A">
      <w:pPr>
        <w:pStyle w:val="p1"/>
        <w:spacing w:line="360" w:lineRule="auto"/>
        <w:rPr>
          <w:rFonts w:ascii="Times New Roman" w:hAnsi="Times New Roman"/>
          <w:sz w:val="22"/>
          <w:szCs w:val="22"/>
        </w:rPr>
      </w:pPr>
      <w:r w:rsidRPr="004B310A">
        <w:rPr>
          <w:rFonts w:ascii="Times New Roman" w:hAnsi="Times New Roman"/>
          <w:sz w:val="22"/>
          <w:szCs w:val="22"/>
        </w:rPr>
        <w:t>Maintained rates but changed forward guidance</w:t>
      </w:r>
      <w:r w:rsidR="004B310A" w:rsidRPr="004B310A">
        <w:rPr>
          <w:rFonts w:ascii="Times New Roman" w:hAnsi="Times New Roman"/>
          <w:sz w:val="22"/>
          <w:szCs w:val="22"/>
        </w:rPr>
        <w:t>: “Further ahead [...] some modest tightening of policy, at a gradual pace and to a limited extent, may be needed to maintain inflation sustainably at the target.” =&gt; “at a gradual pace and to a limited extent” was removed</w:t>
      </w:r>
    </w:p>
    <w:p w14:paraId="5EA95CE6" w14:textId="77777777" w:rsidR="006618B4" w:rsidRDefault="006618B4" w:rsidP="00AC50B4">
      <w:pPr>
        <w:spacing w:after="0" w:line="360" w:lineRule="auto"/>
        <w:rPr>
          <w:rFonts w:ascii="Times New Roman" w:hAnsi="Times New Roman" w:cs="Times New Roman"/>
          <w:kern w:val="0"/>
          <w:sz w:val="22"/>
          <w:szCs w:val="22"/>
          <w:u w:val="single"/>
        </w:rPr>
      </w:pPr>
    </w:p>
    <w:p w14:paraId="43277ED4" w14:textId="3740D116" w:rsidR="006618B4" w:rsidRDefault="006618B4" w:rsidP="00AC50B4">
      <w:pPr>
        <w:spacing w:after="0" w:line="360" w:lineRule="auto"/>
        <w:rPr>
          <w:rFonts w:ascii="Times New Roman" w:hAnsi="Times New Roman" w:cs="Times New Roman"/>
          <w:kern w:val="0"/>
          <w:sz w:val="22"/>
          <w:szCs w:val="22"/>
          <w:u w:val="single"/>
        </w:rPr>
      </w:pPr>
      <w:r w:rsidRPr="006618B4">
        <w:rPr>
          <w:rFonts w:ascii="Times New Roman" w:hAnsi="Times New Roman" w:cs="Times New Roman"/>
          <w:noProof/>
          <w:kern w:val="0"/>
          <w:sz w:val="22"/>
          <w:szCs w:val="22"/>
        </w:rPr>
        <w:drawing>
          <wp:inline distT="0" distB="0" distL="0" distR="0" wp14:anchorId="316328B9" wp14:editId="69B3F166">
            <wp:extent cx="3191933" cy="2470639"/>
            <wp:effectExtent l="0" t="0" r="0" b="6350"/>
            <wp:docPr id="894546892" name="Picture 3"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46892" name="Picture 3" descr="A graph showing the growth of the stock marke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198376" cy="2475626"/>
                    </a:xfrm>
                    <a:prstGeom prst="rect">
                      <a:avLst/>
                    </a:prstGeom>
                  </pic:spPr>
                </pic:pic>
              </a:graphicData>
            </a:graphic>
          </wp:inline>
        </w:drawing>
      </w:r>
    </w:p>
    <w:p w14:paraId="7FF87F0B" w14:textId="77777777" w:rsidR="006618B4" w:rsidRPr="00AC50B4" w:rsidRDefault="006618B4" w:rsidP="00AC50B4">
      <w:pPr>
        <w:spacing w:after="0" w:line="360" w:lineRule="auto"/>
        <w:rPr>
          <w:rFonts w:ascii="Times New Roman" w:hAnsi="Times New Roman" w:cs="Times New Roman"/>
          <w:kern w:val="0"/>
          <w:sz w:val="22"/>
          <w:szCs w:val="22"/>
          <w:u w:val="single"/>
        </w:rPr>
      </w:pPr>
    </w:p>
    <w:p w14:paraId="2FCE2478" w14:textId="779F1819" w:rsidR="00972F1A" w:rsidRPr="00AC50B4" w:rsidRDefault="00972F1A" w:rsidP="00AC50B4">
      <w:pPr>
        <w:spacing w:line="360" w:lineRule="auto"/>
        <w:rPr>
          <w:rFonts w:ascii="Times New Roman" w:hAnsi="Times New Roman" w:cs="Times New Roman"/>
          <w:kern w:val="0"/>
          <w:sz w:val="22"/>
          <w:szCs w:val="22"/>
          <w:u w:val="single"/>
        </w:rPr>
      </w:pPr>
      <w:r w:rsidRPr="00AC50B4">
        <w:rPr>
          <w:rFonts w:ascii="Times New Roman" w:hAnsi="Times New Roman" w:cs="Times New Roman"/>
          <w:kern w:val="0"/>
          <w:sz w:val="22"/>
          <w:szCs w:val="22"/>
          <w:u w:val="single"/>
        </w:rPr>
        <w:br w:type="page"/>
      </w:r>
    </w:p>
    <w:p w14:paraId="792C5271" w14:textId="1E68A6A7" w:rsidR="00E65439" w:rsidRPr="00700F73" w:rsidRDefault="00E65439" w:rsidP="00700F73">
      <w:pPr>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u w:val="single"/>
        </w:rPr>
        <w:lastRenderedPageBreak/>
        <w:t xml:space="preserve">Intuition: </w:t>
      </w:r>
      <w:r w:rsidRPr="0021032C">
        <w:rPr>
          <w:rFonts w:ascii="Times New Roman" w:eastAsia="Times New Roman" w:hAnsi="Times New Roman" w:cs="Times New Roman"/>
          <w:color w:val="000000"/>
          <w:kern w:val="36"/>
          <w:sz w:val="22"/>
          <w:szCs w:val="22"/>
          <w:u w:val="single"/>
          <w:lang w:eastAsia="en-GB"/>
          <w14:ligatures w14:val="none"/>
        </w:rPr>
        <w:t>Why Might Asymmetry Exist?</w:t>
      </w:r>
    </w:p>
    <w:p w14:paraId="3463A39A" w14:textId="77777777" w:rsidR="00E65439" w:rsidRPr="0021032C" w:rsidRDefault="00E65439" w:rsidP="0021032C">
      <w:pPr>
        <w:spacing w:after="0" w:line="360" w:lineRule="auto"/>
        <w:rPr>
          <w:rFonts w:ascii="Times New Roman" w:eastAsia="Times New Roman" w:hAnsi="Times New Roman" w:cs="Times New Roman"/>
          <w:color w:val="000000"/>
          <w:kern w:val="0"/>
          <w:sz w:val="22"/>
          <w:szCs w:val="22"/>
          <w:lang w:eastAsia="en-GB"/>
          <w14:ligatures w14:val="none"/>
        </w:rPr>
      </w:pPr>
      <w:r w:rsidRPr="0021032C">
        <w:rPr>
          <w:rFonts w:ascii="Times New Roman" w:eastAsia="Times New Roman" w:hAnsi="Times New Roman" w:cs="Times New Roman"/>
          <w:color w:val="000000"/>
          <w:kern w:val="0"/>
          <w:sz w:val="22"/>
          <w:szCs w:val="22"/>
          <w:lang w:eastAsia="en-GB"/>
          <w14:ligatures w14:val="none"/>
        </w:rPr>
        <w:t>Theoretically:</w:t>
      </w:r>
    </w:p>
    <w:p w14:paraId="6D8809A8" w14:textId="77777777" w:rsidR="00E65439" w:rsidRPr="0021032C" w:rsidRDefault="00E65439" w:rsidP="0021032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21032C">
        <w:rPr>
          <w:rFonts w:ascii="Times New Roman" w:eastAsia="Times New Roman" w:hAnsi="Times New Roman" w:cs="Times New Roman"/>
          <w:color w:val="000000"/>
          <w:kern w:val="0"/>
          <w:sz w:val="22"/>
          <w:szCs w:val="22"/>
          <w:lang w:eastAsia="en-GB"/>
          <w14:ligatures w14:val="none"/>
        </w:rPr>
        <w:t xml:space="preserve">Tightening increases discount rates → strong equity </w:t>
      </w:r>
      <w:proofErr w:type="gramStart"/>
      <w:r w:rsidRPr="0021032C">
        <w:rPr>
          <w:rFonts w:ascii="Times New Roman" w:eastAsia="Times New Roman" w:hAnsi="Times New Roman" w:cs="Times New Roman"/>
          <w:color w:val="000000"/>
          <w:kern w:val="0"/>
          <w:sz w:val="22"/>
          <w:szCs w:val="22"/>
          <w:lang w:eastAsia="en-GB"/>
          <w14:ligatures w14:val="none"/>
        </w:rPr>
        <w:t>drop</w:t>
      </w:r>
      <w:proofErr w:type="gramEnd"/>
    </w:p>
    <w:p w14:paraId="16E77383" w14:textId="77777777" w:rsidR="00E65439" w:rsidRPr="0021032C" w:rsidRDefault="00E65439" w:rsidP="0021032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21032C">
        <w:rPr>
          <w:rFonts w:ascii="Times New Roman" w:eastAsia="Times New Roman" w:hAnsi="Times New Roman" w:cs="Times New Roman"/>
          <w:color w:val="000000"/>
          <w:kern w:val="0"/>
          <w:sz w:val="22"/>
          <w:szCs w:val="22"/>
          <w:lang w:eastAsia="en-GB"/>
          <w14:ligatures w14:val="none"/>
        </w:rPr>
        <w:t>Easing may signal bad macro outlook → weaker positive response</w:t>
      </w:r>
    </w:p>
    <w:p w14:paraId="48471745" w14:textId="77777777" w:rsidR="00E65439" w:rsidRPr="0021032C" w:rsidRDefault="00E65439" w:rsidP="0021032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21032C">
        <w:rPr>
          <w:rFonts w:ascii="Times New Roman" w:eastAsia="Times New Roman" w:hAnsi="Times New Roman" w:cs="Times New Roman"/>
          <w:color w:val="000000"/>
          <w:kern w:val="0"/>
          <w:sz w:val="22"/>
          <w:szCs w:val="22"/>
          <w:lang w:eastAsia="en-GB"/>
          <w14:ligatures w14:val="none"/>
        </w:rPr>
        <w:t>Risk premia channel may be nonlinear</w:t>
      </w:r>
    </w:p>
    <w:p w14:paraId="7EA79E86" w14:textId="47E9CA28" w:rsidR="00E65439" w:rsidRPr="0021032C" w:rsidRDefault="00E65439" w:rsidP="0021032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21032C">
        <w:rPr>
          <w:rFonts w:ascii="Times New Roman" w:eastAsia="Times New Roman" w:hAnsi="Times New Roman" w:cs="Times New Roman"/>
          <w:color w:val="000000"/>
          <w:kern w:val="0"/>
          <w:sz w:val="22"/>
          <w:szCs w:val="22"/>
          <w:lang w:eastAsia="en-GB"/>
          <w14:ligatures w14:val="none"/>
        </w:rPr>
        <w:t>ZLB may make easing less effective</w:t>
      </w:r>
    </w:p>
    <w:p w14:paraId="4976AA38" w14:textId="5C940599" w:rsidR="00E65439" w:rsidRPr="0021032C" w:rsidRDefault="00E65439" w:rsidP="0021032C">
      <w:pPr>
        <w:spacing w:after="0" w:line="360" w:lineRule="auto"/>
        <w:rPr>
          <w:rFonts w:ascii="Times New Roman" w:eastAsia="Times New Roman" w:hAnsi="Times New Roman" w:cs="Times New Roman"/>
          <w:color w:val="000000"/>
          <w:kern w:val="0"/>
          <w:sz w:val="22"/>
          <w:szCs w:val="22"/>
          <w:lang w:eastAsia="en-GB"/>
          <w14:ligatures w14:val="none"/>
        </w:rPr>
      </w:pPr>
      <w:proofErr w:type="gramStart"/>
      <w:r w:rsidRPr="0021032C">
        <w:rPr>
          <w:rFonts w:ascii="Times New Roman" w:eastAsia="Times New Roman" w:hAnsi="Times New Roman" w:cs="Times New Roman"/>
          <w:color w:val="000000"/>
          <w:kern w:val="0"/>
          <w:sz w:val="22"/>
          <w:szCs w:val="22"/>
          <w:lang w:eastAsia="en-GB"/>
          <w14:ligatures w14:val="none"/>
        </w:rPr>
        <w:t>So</w:t>
      </w:r>
      <w:proofErr w:type="gramEnd"/>
      <w:r w:rsidRPr="0021032C">
        <w:rPr>
          <w:rFonts w:ascii="Times New Roman" w:eastAsia="Times New Roman" w:hAnsi="Times New Roman" w:cs="Times New Roman"/>
          <w:color w:val="000000"/>
          <w:kern w:val="0"/>
          <w:sz w:val="22"/>
          <w:szCs w:val="22"/>
          <w:lang w:eastAsia="en-GB"/>
          <w14:ligatures w14:val="none"/>
        </w:rPr>
        <w:t xml:space="preserve"> you have strong economic motivation.</w:t>
      </w:r>
    </w:p>
    <w:p w14:paraId="08BC42EE" w14:textId="77777777" w:rsidR="002D7670" w:rsidRPr="0021032C" w:rsidRDefault="002D7670" w:rsidP="0021032C">
      <w:pPr>
        <w:spacing w:after="0" w:line="360" w:lineRule="auto"/>
        <w:rPr>
          <w:rFonts w:ascii="Times New Roman" w:eastAsia="Times New Roman" w:hAnsi="Times New Roman" w:cs="Times New Roman"/>
          <w:color w:val="000000"/>
          <w:kern w:val="0"/>
          <w:sz w:val="22"/>
          <w:szCs w:val="22"/>
          <w:lang w:eastAsia="en-GB"/>
          <w14:ligatures w14:val="none"/>
        </w:rPr>
      </w:pPr>
    </w:p>
    <w:p w14:paraId="041A0068" w14:textId="748E5624" w:rsidR="002D7670" w:rsidRPr="0021032C" w:rsidRDefault="002D7670" w:rsidP="0021032C">
      <w:pPr>
        <w:spacing w:after="0" w:line="360" w:lineRule="auto"/>
        <w:rPr>
          <w:rFonts w:ascii="Times New Roman" w:eastAsia="Times New Roman" w:hAnsi="Times New Roman" w:cs="Times New Roman"/>
          <w:color w:val="000000"/>
          <w:kern w:val="0"/>
          <w:sz w:val="22"/>
          <w:szCs w:val="22"/>
          <w:lang w:eastAsia="en-GB"/>
          <w14:ligatures w14:val="none"/>
        </w:rPr>
      </w:pPr>
      <w:r w:rsidRPr="0021032C">
        <w:rPr>
          <w:rFonts w:ascii="Times New Roman" w:hAnsi="Times New Roman" w:cs="Times New Roman"/>
          <w:noProof/>
          <w:kern w:val="0"/>
          <w:sz w:val="22"/>
          <w:szCs w:val="22"/>
        </w:rPr>
        <w:drawing>
          <wp:inline distT="0" distB="0" distL="0" distR="0" wp14:anchorId="138BA468" wp14:editId="693DE7E9">
            <wp:extent cx="1409075" cy="1269907"/>
            <wp:effectExtent l="0" t="0" r="635" b="635"/>
            <wp:docPr id="226421849"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49" name="Picture 2" descr="A screenshot of a computer screen&#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34519" cy="1292838"/>
                    </a:xfrm>
                    <a:prstGeom prst="rect">
                      <a:avLst/>
                    </a:prstGeom>
                  </pic:spPr>
                </pic:pic>
              </a:graphicData>
            </a:graphic>
          </wp:inline>
        </w:drawing>
      </w:r>
    </w:p>
    <w:p w14:paraId="4CC0C37A" w14:textId="6E0A5125" w:rsidR="00E65439" w:rsidRPr="0021032C" w:rsidRDefault="00E65439" w:rsidP="0021032C">
      <w:pPr>
        <w:autoSpaceDE w:val="0"/>
        <w:autoSpaceDN w:val="0"/>
        <w:adjustRightInd w:val="0"/>
        <w:spacing w:after="0" w:line="360" w:lineRule="auto"/>
        <w:rPr>
          <w:rFonts w:ascii="Times New Roman" w:hAnsi="Times New Roman" w:cs="Times New Roman"/>
          <w:kern w:val="0"/>
          <w:sz w:val="22"/>
          <w:szCs w:val="22"/>
        </w:rPr>
      </w:pPr>
    </w:p>
    <w:p w14:paraId="23B45D4F" w14:textId="387DB27A" w:rsidR="001616A0" w:rsidRPr="0021032C" w:rsidRDefault="001616A0" w:rsidP="0021032C">
      <w:p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Shock</w:t>
      </w:r>
      <w:r w:rsidR="000A2199" w:rsidRPr="0021032C">
        <w:rPr>
          <w:rFonts w:ascii="Times New Roman" w:hAnsi="Times New Roman" w:cs="Times New Roman"/>
          <w:kern w:val="0"/>
          <w:sz w:val="22"/>
          <w:szCs w:val="22"/>
        </w:rPr>
        <w:t>s</w:t>
      </w:r>
      <w:r w:rsidRPr="0021032C">
        <w:rPr>
          <w:rFonts w:ascii="Times New Roman" w:hAnsi="Times New Roman" w:cs="Times New Roman"/>
          <w:kern w:val="0"/>
          <w:sz w:val="22"/>
          <w:szCs w:val="22"/>
        </w:rPr>
        <w:t>:</w:t>
      </w:r>
    </w:p>
    <w:p w14:paraId="77D75521" w14:textId="65D93A71" w:rsidR="001616A0" w:rsidRPr="00F47DB0" w:rsidRDefault="001616A0" w:rsidP="00F47DB0">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F47DB0">
        <w:rPr>
          <w:rFonts w:ascii="Times New Roman" w:hAnsi="Times New Roman" w:cs="Times New Roman"/>
          <w:color w:val="000000"/>
          <w:sz w:val="22"/>
          <w:szCs w:val="22"/>
        </w:rPr>
        <w:t>Target = short rate surprise</w:t>
      </w:r>
      <w:r w:rsidR="00F47DB0" w:rsidRPr="00F47DB0">
        <w:rPr>
          <w:rFonts w:ascii="Times New Roman" w:hAnsi="Times New Roman" w:cs="Times New Roman"/>
          <w:color w:val="000000"/>
          <w:sz w:val="22"/>
          <w:szCs w:val="22"/>
        </w:rPr>
        <w:t xml:space="preserve"> (strongest in terms of </w:t>
      </w:r>
      <w:r w:rsidR="00F47DB0" w:rsidRPr="00F47DB0">
        <w:rPr>
          <w:rFonts w:ascii="Times New Roman" w:hAnsi="Times New Roman" w:cs="Times New Roman"/>
          <w:kern w:val="0"/>
          <w:sz w:val="22"/>
          <w:szCs w:val="22"/>
        </w:rPr>
        <w:t>in terms of transmission</w:t>
      </w:r>
      <w:r w:rsidR="00F47DB0">
        <w:rPr>
          <w:rFonts w:ascii="Times New Roman" w:hAnsi="Times New Roman" w:cs="Times New Roman"/>
          <w:kern w:val="0"/>
          <w:sz w:val="22"/>
          <w:szCs w:val="22"/>
        </w:rPr>
        <w:t xml:space="preserve"> in equity) </w:t>
      </w:r>
    </w:p>
    <w:p w14:paraId="153A6439" w14:textId="77777777" w:rsidR="001616A0" w:rsidRPr="0021032C" w:rsidRDefault="001616A0" w:rsidP="0021032C">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Path = forward guidance shock</w:t>
      </w:r>
    </w:p>
    <w:p w14:paraId="01F185BE" w14:textId="7EAB85D6" w:rsidR="001616A0" w:rsidRPr="0021032C" w:rsidRDefault="001616A0" w:rsidP="0021032C">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QE = long-term asset purchase shock</w:t>
      </w:r>
    </w:p>
    <w:p w14:paraId="0891E928" w14:textId="77777777" w:rsidR="000A2199" w:rsidRPr="0021032C" w:rsidRDefault="000A2199" w:rsidP="0021032C">
      <w:pPr>
        <w:autoSpaceDE w:val="0"/>
        <w:autoSpaceDN w:val="0"/>
        <w:adjustRightInd w:val="0"/>
        <w:spacing w:after="0" w:line="360" w:lineRule="auto"/>
        <w:rPr>
          <w:rFonts w:ascii="Times New Roman" w:hAnsi="Times New Roman" w:cs="Times New Roman"/>
          <w:kern w:val="0"/>
          <w:sz w:val="22"/>
          <w:szCs w:val="22"/>
        </w:rPr>
      </w:pPr>
    </w:p>
    <w:p w14:paraId="799EC8F4" w14:textId="6C3387FD" w:rsidR="00A329FA" w:rsidRPr="0021032C" w:rsidRDefault="00F47DB0" w:rsidP="0021032C">
      <w:pPr>
        <w:autoSpaceDE w:val="0"/>
        <w:autoSpaceDN w:val="0"/>
        <w:adjustRightInd w:val="0"/>
        <w:spacing w:after="0" w:line="360" w:lineRule="auto"/>
        <w:rPr>
          <w:rFonts w:ascii="Times New Roman" w:hAnsi="Times New Roman" w:cs="Times New Roman"/>
          <w:kern w:val="0"/>
          <w:sz w:val="22"/>
          <w:szCs w:val="22"/>
        </w:rPr>
      </w:pPr>
      <w:r>
        <w:rPr>
          <w:rFonts w:ascii="Times New Roman" w:hAnsi="Times New Roman" w:cs="Times New Roman"/>
          <w:kern w:val="0"/>
          <w:sz w:val="22"/>
          <w:szCs w:val="22"/>
        </w:rPr>
        <w:t>PCA of</w:t>
      </w:r>
      <w:r w:rsidR="00D92C47" w:rsidRPr="0021032C">
        <w:rPr>
          <w:rFonts w:ascii="Times New Roman" w:hAnsi="Times New Roman" w:cs="Times New Roman"/>
          <w:kern w:val="0"/>
          <w:sz w:val="22"/>
          <w:szCs w:val="22"/>
        </w:rPr>
        <w:t xml:space="preserve"> (BoE paper deals with instant reactions – price after minus price before)</w:t>
      </w:r>
      <w:r w:rsidR="000A2199" w:rsidRPr="0021032C">
        <w:rPr>
          <w:rFonts w:ascii="Times New Roman" w:hAnsi="Times New Roman" w:cs="Times New Roman"/>
          <w:kern w:val="0"/>
          <w:sz w:val="22"/>
          <w:szCs w:val="22"/>
        </w:rPr>
        <w:t>:</w:t>
      </w:r>
    </w:p>
    <w:p w14:paraId="08526961" w14:textId="6C771CB2" w:rsidR="008D17BD" w:rsidRPr="0021032C" w:rsidRDefault="00A329FA" w:rsidP="0021032C">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3M LIBOR</w:t>
      </w:r>
      <w:r w:rsidR="008D17BD" w:rsidRPr="0021032C">
        <w:rPr>
          <w:rFonts w:ascii="Times New Roman" w:hAnsi="Times New Roman" w:cs="Times New Roman"/>
          <w:kern w:val="0"/>
          <w:sz w:val="22"/>
          <w:szCs w:val="22"/>
        </w:rPr>
        <w:t xml:space="preserve"> (London Interbank Offered Rate)</w:t>
      </w:r>
      <w:r w:rsidRPr="0021032C">
        <w:rPr>
          <w:rFonts w:ascii="Times New Roman" w:hAnsi="Times New Roman" w:cs="Times New Roman"/>
          <w:kern w:val="0"/>
          <w:sz w:val="22"/>
          <w:szCs w:val="22"/>
        </w:rPr>
        <w:t xml:space="preserve"> quarterly contracts: </w:t>
      </w:r>
      <w:r w:rsidRPr="0021032C">
        <w:rPr>
          <w:rStyle w:val="bzpyqfadein"/>
          <w:rFonts w:ascii="Times New Roman" w:hAnsi="Times New Roman" w:cs="Times New Roman"/>
          <w:color w:val="000000"/>
          <w:sz w:val="22"/>
          <w:szCs w:val="22"/>
        </w:rPr>
        <w:t>If</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LIBOR (3-month</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GBP) =</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5%</w:t>
      </w:r>
      <w:r w:rsidR="008D17BD" w:rsidRPr="0021032C">
        <w:rPr>
          <w:rStyle w:val="bzpyqfadein"/>
          <w:rFonts w:ascii="Times New Roman" w:hAnsi="Times New Roman" w:cs="Times New Roman"/>
          <w:color w:val="000000"/>
          <w:sz w:val="22"/>
          <w:szCs w:val="22"/>
        </w:rPr>
        <w:t xml:space="preserve"> =&gt; </w:t>
      </w:r>
      <w:r w:rsidRPr="0021032C">
        <w:rPr>
          <w:rStyle w:val="bzpyqfadein"/>
          <w:rFonts w:ascii="Times New Roman" w:eastAsiaTheme="majorEastAsia" w:hAnsi="Times New Roman" w:cs="Times New Roman"/>
          <w:color w:val="000000"/>
          <w:sz w:val="22"/>
          <w:szCs w:val="22"/>
        </w:rPr>
        <w:t>banks</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could</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borrow</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3</w:t>
      </w:r>
      <w:r w:rsidR="008D17BD" w:rsidRPr="0021032C">
        <w:rPr>
          <w:rStyle w:val="bzpyqfadein"/>
          <w:rFonts w:ascii="Times New Roman" w:eastAsiaTheme="majorEastAsia" w:hAnsi="Times New Roman" w:cs="Times New Roman"/>
          <w:color w:val="000000"/>
          <w:sz w:val="22"/>
          <w:szCs w:val="22"/>
        </w:rPr>
        <w:t>-</w:t>
      </w:r>
      <w:r w:rsidRPr="0021032C">
        <w:rPr>
          <w:rStyle w:val="bzpyqfadein"/>
          <w:rFonts w:ascii="Times New Roman" w:eastAsiaTheme="majorEastAsia" w:hAnsi="Times New Roman" w:cs="Times New Roman"/>
          <w:color w:val="000000"/>
          <w:sz w:val="22"/>
          <w:szCs w:val="22"/>
        </w:rPr>
        <w:t>month</w:t>
      </w:r>
      <w:r w:rsidR="008D17BD"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mone</w:t>
      </w:r>
      <w:r w:rsidR="008D17BD" w:rsidRPr="0021032C">
        <w:rPr>
          <w:rStyle w:val="apple-converted-space"/>
          <w:rFonts w:ascii="Times New Roman" w:eastAsiaTheme="majorEastAsia" w:hAnsi="Times New Roman" w:cs="Times New Roman"/>
          <w:color w:val="000000"/>
          <w:sz w:val="22"/>
          <w:szCs w:val="22"/>
        </w:rPr>
        <w:t xml:space="preserve">y </w:t>
      </w:r>
      <w:r w:rsidRPr="0021032C">
        <w:rPr>
          <w:rStyle w:val="bzpyqfadein"/>
          <w:rFonts w:ascii="Times New Roman" w:eastAsiaTheme="majorEastAsia" w:hAnsi="Times New Roman" w:cs="Times New Roman"/>
          <w:color w:val="000000"/>
          <w:sz w:val="22"/>
          <w:szCs w:val="22"/>
        </w:rPr>
        <w:t>from</w:t>
      </w:r>
      <w:r w:rsidR="008D17BD"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other</w:t>
      </w:r>
      <w:r w:rsidR="008D17BD"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banks</w:t>
      </w:r>
      <w:r w:rsidR="008D17BD"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at</w:t>
      </w:r>
      <w:r w:rsidR="008D17BD"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about</w:t>
      </w:r>
      <w:r w:rsidR="008D17BD" w:rsidRPr="0021032C">
        <w:rPr>
          <w:rStyle w:val="bzpyqfadein"/>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5%.</w:t>
      </w:r>
    </w:p>
    <w:p w14:paraId="3E6FA4CA" w14:textId="02ED8ABA" w:rsidR="008D17BD" w:rsidRPr="00972F1A" w:rsidRDefault="008D17BD" w:rsidP="0021032C">
      <w:pPr>
        <w:pStyle w:val="ListParagraph"/>
        <w:numPr>
          <w:ilvl w:val="0"/>
          <w:numId w:val="5"/>
        </w:numPr>
        <w:autoSpaceDE w:val="0"/>
        <w:autoSpaceDN w:val="0"/>
        <w:adjustRightInd w:val="0"/>
        <w:spacing w:after="0" w:line="360" w:lineRule="auto"/>
        <w:rPr>
          <w:rStyle w:val="bzpyqfadein"/>
          <w:rFonts w:ascii="Times New Roman" w:hAnsi="Times New Roman" w:cs="Times New Roman"/>
          <w:kern w:val="0"/>
          <w:sz w:val="22"/>
          <w:szCs w:val="22"/>
        </w:rPr>
      </w:pPr>
      <w:r w:rsidRPr="0021032C">
        <w:rPr>
          <w:rFonts w:ascii="Times New Roman" w:hAnsi="Times New Roman" w:cs="Times New Roman"/>
          <w:kern w:val="0"/>
          <w:sz w:val="22"/>
          <w:szCs w:val="22"/>
        </w:rPr>
        <w:t>3M SONIA (Sterling Overnight Index Average) quarterly contracts: 3 Month SONIA futures contract [</w:t>
      </w:r>
      <w:r w:rsidRPr="0021032C">
        <w:rPr>
          <w:rStyle w:val="bzpyqfadein"/>
          <w:rFonts w:ascii="Times New Roman" w:hAnsi="Times New Roman" w:cs="Times New Roman"/>
          <w:color w:val="000000"/>
          <w:sz w:val="22"/>
          <w:szCs w:val="22"/>
        </w:rPr>
        <w:t>If</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SONIA today =</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 xml:space="preserve">5% =&gt; </w:t>
      </w:r>
      <w:r w:rsidRPr="0021032C">
        <w:rPr>
          <w:rStyle w:val="bzpyqfadein"/>
          <w:rFonts w:ascii="Times New Roman" w:eastAsiaTheme="majorEastAsia" w:hAnsi="Times New Roman" w:cs="Times New Roman"/>
          <w:color w:val="000000"/>
          <w:sz w:val="22"/>
          <w:szCs w:val="22"/>
        </w:rPr>
        <w:t>banks</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are actually lending overnight funds at around 4.25% - payoff of 3M future depends on average price over the 3 month period in question] – moves very closely with BoE policy rate</w:t>
      </w:r>
      <w:r w:rsidR="00D92C47" w:rsidRPr="0021032C">
        <w:rPr>
          <w:rStyle w:val="bzpyqfadein"/>
          <w:rFonts w:ascii="Times New Roman" w:eastAsiaTheme="majorEastAsia" w:hAnsi="Times New Roman" w:cs="Times New Roman"/>
          <w:color w:val="000000"/>
          <w:sz w:val="22"/>
          <w:szCs w:val="22"/>
        </w:rPr>
        <w:t xml:space="preserve"> </w:t>
      </w:r>
    </w:p>
    <w:p w14:paraId="24D2802D" w14:textId="3331E03F" w:rsidR="00972F1A" w:rsidRPr="00972F1A" w:rsidRDefault="00972F1A" w:rsidP="00972F1A">
      <w:pPr>
        <w:pStyle w:val="ListParagraph"/>
        <w:numPr>
          <w:ilvl w:val="1"/>
          <w:numId w:val="5"/>
        </w:numPr>
        <w:autoSpaceDE w:val="0"/>
        <w:autoSpaceDN w:val="0"/>
        <w:adjustRightInd w:val="0"/>
        <w:spacing w:after="0" w:line="360" w:lineRule="auto"/>
        <w:rPr>
          <w:rFonts w:ascii="Times New Roman" w:hAnsi="Times New Roman" w:cs="Times New Roman"/>
          <w:kern w:val="0"/>
          <w:sz w:val="22"/>
          <w:szCs w:val="22"/>
        </w:rPr>
      </w:pPr>
      <w:r w:rsidRPr="00972F1A">
        <w:rPr>
          <w:rFonts w:ascii="Times New Roman" w:hAnsi="Times New Roman" w:cs="Times New Roman"/>
          <w:kern w:val="0"/>
          <w:sz w:val="22"/>
          <w:szCs w:val="22"/>
        </w:rPr>
        <w:t>LIBOR and SONIA considered most liquid measure of interest rate expectations in UK</w:t>
      </w:r>
    </w:p>
    <w:p w14:paraId="0B553ACA" w14:textId="673F6C07" w:rsidR="00972F1A" w:rsidRDefault="008D17BD" w:rsidP="00972F1A">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OIS</w:t>
      </w:r>
      <w:r w:rsidR="00D92C47" w:rsidRPr="0021032C">
        <w:rPr>
          <w:rFonts w:ascii="Times New Roman" w:hAnsi="Times New Roman" w:cs="Times New Roman"/>
          <w:kern w:val="0"/>
          <w:sz w:val="22"/>
          <w:szCs w:val="22"/>
        </w:rPr>
        <w:t xml:space="preserve"> (Overnight Index Swap) Rate: betting on average SONIA over next period (specified). Because expected SONIA indicates expected Bank Rate, we then have that OIS Rate indicates expected future policy rate.</w:t>
      </w:r>
    </w:p>
    <w:p w14:paraId="7A23D51E" w14:textId="4A89EB6F" w:rsidR="00972F1A" w:rsidRDefault="00972F1A" w:rsidP="00972F1A">
      <w:pPr>
        <w:pStyle w:val="ListParagraph"/>
        <w:numPr>
          <w:ilvl w:val="1"/>
          <w:numId w:val="5"/>
        </w:numPr>
        <w:autoSpaceDE w:val="0"/>
        <w:autoSpaceDN w:val="0"/>
        <w:adjustRightInd w:val="0"/>
        <w:spacing w:after="0" w:line="360" w:lineRule="auto"/>
        <w:rPr>
          <w:rFonts w:ascii="Times New Roman" w:hAnsi="Times New Roman" w:cs="Times New Roman"/>
          <w:kern w:val="0"/>
          <w:sz w:val="22"/>
          <w:szCs w:val="22"/>
        </w:rPr>
      </w:pPr>
      <w:r>
        <w:rPr>
          <w:rFonts w:ascii="Times New Roman" w:hAnsi="Times New Roman" w:cs="Times New Roman"/>
          <w:kern w:val="0"/>
          <w:sz w:val="22"/>
          <w:szCs w:val="22"/>
        </w:rPr>
        <w:t xml:space="preserve">More directly linked to </w:t>
      </w:r>
      <w:r w:rsidR="00AC50B4">
        <w:rPr>
          <w:rFonts w:ascii="Times New Roman" w:hAnsi="Times New Roman" w:cs="Times New Roman"/>
          <w:kern w:val="0"/>
          <w:sz w:val="22"/>
          <w:szCs w:val="22"/>
        </w:rPr>
        <w:t>Bank Rates expectations but only available from 2008</w:t>
      </w:r>
    </w:p>
    <w:p w14:paraId="046F5B1F" w14:textId="44019D8A" w:rsidR="00AC50B4" w:rsidRPr="00972F1A" w:rsidRDefault="00AC50B4" w:rsidP="00AC50B4">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Pr>
          <w:rFonts w:ascii="Times New Roman" w:hAnsi="Times New Roman" w:cs="Times New Roman"/>
          <w:kern w:val="0"/>
          <w:sz w:val="22"/>
          <w:szCs w:val="22"/>
        </w:rPr>
        <w:t>Gilt yields =&gt; medium to long term rate expectations</w:t>
      </w:r>
    </w:p>
    <w:p w14:paraId="1C7CE802" w14:textId="77777777" w:rsidR="000A2199" w:rsidRPr="0021032C" w:rsidRDefault="000A2199" w:rsidP="0021032C">
      <w:pPr>
        <w:autoSpaceDE w:val="0"/>
        <w:autoSpaceDN w:val="0"/>
        <w:adjustRightInd w:val="0"/>
        <w:spacing w:after="0" w:line="360" w:lineRule="auto"/>
        <w:rPr>
          <w:rFonts w:ascii="Times New Roman" w:hAnsi="Times New Roman" w:cs="Times New Roman"/>
          <w:color w:val="000000"/>
          <w:sz w:val="22"/>
          <w:szCs w:val="22"/>
        </w:rPr>
      </w:pPr>
    </w:p>
    <w:p w14:paraId="7DB8AE7E" w14:textId="09B0C11D" w:rsidR="000A2199" w:rsidRPr="0021032C" w:rsidRDefault="001616A0" w:rsidP="0021032C">
      <w:pPr>
        <w:autoSpaceDE w:val="0"/>
        <w:autoSpaceDN w:val="0"/>
        <w:adjustRightInd w:val="0"/>
        <w:spacing w:after="0" w:line="360" w:lineRule="auto"/>
        <w:rPr>
          <w:rFonts w:ascii="Times New Roman" w:hAnsi="Times New Roman" w:cs="Times New Roman"/>
          <w:color w:val="000000"/>
          <w:sz w:val="22"/>
          <w:szCs w:val="22"/>
        </w:rPr>
      </w:pPr>
      <w:r w:rsidRPr="0021032C">
        <w:rPr>
          <w:rFonts w:ascii="Times New Roman" w:hAnsi="Times New Roman" w:cs="Times New Roman"/>
          <w:color w:val="000000"/>
          <w:sz w:val="22"/>
          <w:szCs w:val="22"/>
        </w:rPr>
        <w:lastRenderedPageBreak/>
        <w:t>Dependent</w:t>
      </w:r>
      <w:r w:rsidR="000A2199" w:rsidRPr="0021032C">
        <w:rPr>
          <w:rFonts w:ascii="Times New Roman" w:hAnsi="Times New Roman" w:cs="Times New Roman"/>
          <w:color w:val="000000"/>
          <w:sz w:val="22"/>
          <w:szCs w:val="22"/>
        </w:rPr>
        <w:t>s</w:t>
      </w:r>
      <w:r w:rsidRPr="0021032C">
        <w:rPr>
          <w:rFonts w:ascii="Times New Roman" w:hAnsi="Times New Roman" w:cs="Times New Roman"/>
          <w:color w:val="000000"/>
          <w:sz w:val="22"/>
          <w:szCs w:val="22"/>
        </w:rPr>
        <w:t>:</w:t>
      </w:r>
    </w:p>
    <w:p w14:paraId="1A4D8BC0" w14:textId="719AD6D5" w:rsidR="001616A0" w:rsidRPr="00F47DB0" w:rsidRDefault="001616A0" w:rsidP="00F47DB0">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FTSE100</w:t>
      </w:r>
      <w:r w:rsidR="00F47DB0">
        <w:rPr>
          <w:rFonts w:ascii="Times New Roman" w:hAnsi="Times New Roman" w:cs="Times New Roman"/>
          <w:kern w:val="0"/>
          <w:sz w:val="22"/>
          <w:szCs w:val="22"/>
        </w:rPr>
        <w:t xml:space="preserve"> and/or </w:t>
      </w:r>
      <w:r w:rsidR="00F47DB0" w:rsidRPr="0021032C">
        <w:rPr>
          <w:rFonts w:ascii="Times New Roman" w:hAnsi="Times New Roman" w:cs="Times New Roman"/>
          <w:kern w:val="0"/>
          <w:sz w:val="22"/>
          <w:szCs w:val="22"/>
        </w:rPr>
        <w:t>FTSE250</w:t>
      </w:r>
      <w:r w:rsidR="00F47DB0" w:rsidRPr="00F47DB0">
        <w:rPr>
          <w:rFonts w:ascii="Times New Roman" w:hAnsi="Times New Roman" w:cs="Times New Roman"/>
          <w:kern w:val="0"/>
          <w:sz w:val="22"/>
          <w:szCs w:val="22"/>
        </w:rPr>
        <w:t xml:space="preserve"> (start simple)</w:t>
      </w:r>
      <w:r w:rsidR="00F47DB0">
        <w:rPr>
          <w:rFonts w:ascii="Times New Roman" w:hAnsi="Times New Roman" w:cs="Times New Roman"/>
          <w:kern w:val="0"/>
          <w:sz w:val="22"/>
          <w:szCs w:val="22"/>
        </w:rPr>
        <w:t xml:space="preserve"> – daily </w:t>
      </w:r>
    </w:p>
    <w:p w14:paraId="759FE842" w14:textId="5CED2124" w:rsidR="001616A0" w:rsidRPr="0021032C" w:rsidRDefault="001616A0" w:rsidP="0021032C">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Sectoral</w:t>
      </w:r>
      <w:r w:rsidR="00F47DB0">
        <w:rPr>
          <w:rFonts w:ascii="Times New Roman" w:hAnsi="Times New Roman" w:cs="Times New Roman"/>
          <w:kern w:val="0"/>
          <w:sz w:val="22"/>
          <w:szCs w:val="22"/>
        </w:rPr>
        <w:t xml:space="preserve"> – daily</w:t>
      </w:r>
    </w:p>
    <w:p w14:paraId="729E4417" w14:textId="77777777" w:rsidR="00F47DB0" w:rsidRDefault="00F47DB0" w:rsidP="00F47DB0">
      <w:pPr>
        <w:autoSpaceDE w:val="0"/>
        <w:autoSpaceDN w:val="0"/>
        <w:adjustRightInd w:val="0"/>
        <w:spacing w:after="0" w:line="360" w:lineRule="auto"/>
        <w:rPr>
          <w:rFonts w:ascii="Times New Roman" w:hAnsi="Times New Roman" w:cs="Times New Roman"/>
          <w:kern w:val="0"/>
          <w:sz w:val="22"/>
          <w:szCs w:val="22"/>
        </w:rPr>
      </w:pPr>
      <w:r w:rsidRPr="00F47DB0">
        <w:rPr>
          <w:rFonts w:ascii="Times New Roman" w:hAnsi="Times New Roman" w:cs="Times New Roman"/>
          <w:kern w:val="0"/>
          <w:sz w:val="22"/>
          <w:szCs w:val="22"/>
        </w:rPr>
        <w:t xml:space="preserve">VAR </w:t>
      </w:r>
    </w:p>
    <w:p w14:paraId="4D74A9BB" w14:textId="40F5569E" w:rsidR="00263EC0" w:rsidRPr="0021032C" w:rsidRDefault="00F47DB0" w:rsidP="0021032C">
      <w:pPr>
        <w:autoSpaceDE w:val="0"/>
        <w:autoSpaceDN w:val="0"/>
        <w:adjustRightInd w:val="0"/>
        <w:spacing w:after="0" w:line="360" w:lineRule="auto"/>
        <w:rPr>
          <w:rFonts w:ascii="Times New Roman" w:hAnsi="Times New Roman" w:cs="Times New Roman"/>
          <w:kern w:val="0"/>
          <w:sz w:val="22"/>
          <w:szCs w:val="22"/>
        </w:rPr>
      </w:pPr>
      <w:r>
        <w:rPr>
          <w:rFonts w:ascii="Times New Roman" w:hAnsi="Times New Roman" w:cs="Times New Roman"/>
          <w:kern w:val="0"/>
          <w:sz w:val="22"/>
          <w:szCs w:val="22"/>
        </w:rPr>
        <w:t xml:space="preserve">or </w:t>
      </w:r>
      <w:r w:rsidRPr="00F47DB0">
        <w:rPr>
          <w:rFonts w:ascii="Times New Roman" w:hAnsi="Times New Roman" w:cs="Times New Roman"/>
          <w:kern w:val="0"/>
          <w:sz w:val="22"/>
          <w:szCs w:val="22"/>
        </w:rPr>
        <w:t>LP – less biased (especially at long horizons) – but less precise (bigger confidence intervals)</w:t>
      </w:r>
    </w:p>
    <w:p w14:paraId="069F96CA" w14:textId="68FFF18E" w:rsidR="00D36C6C" w:rsidRPr="0021032C" w:rsidRDefault="00D36C6C" w:rsidP="00C5446D">
      <w:pPr>
        <w:autoSpaceDE w:val="0"/>
        <w:autoSpaceDN w:val="0"/>
        <w:adjustRightInd w:val="0"/>
        <w:spacing w:after="0" w:line="360" w:lineRule="auto"/>
        <w:jc w:val="center"/>
        <w:rPr>
          <w:rFonts w:ascii="Times New Roman" w:hAnsi="Times New Roman" w:cs="Times New Roman"/>
          <w:color w:val="000000"/>
          <w:sz w:val="22"/>
          <w:szCs w:val="22"/>
        </w:rPr>
      </w:pPr>
      <w:r w:rsidRPr="0021032C">
        <w:rPr>
          <w:rFonts w:ascii="Times New Roman" w:hAnsi="Times New Roman" w:cs="Times New Roman"/>
          <w:noProof/>
          <w:kern w:val="0"/>
          <w:sz w:val="22"/>
          <w:szCs w:val="22"/>
        </w:rPr>
        <w:drawing>
          <wp:inline distT="0" distB="0" distL="0" distR="0" wp14:anchorId="6930F6D9" wp14:editId="24BD07B0">
            <wp:extent cx="3582496" cy="2292263"/>
            <wp:effectExtent l="0" t="0" r="0" b="0"/>
            <wp:docPr id="8448562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6223" name="Picture 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20065" cy="2316302"/>
                    </a:xfrm>
                    <a:prstGeom prst="rect">
                      <a:avLst/>
                    </a:prstGeom>
                  </pic:spPr>
                </pic:pic>
              </a:graphicData>
            </a:graphic>
          </wp:inline>
        </w:drawing>
      </w:r>
    </w:p>
    <w:p w14:paraId="29D74DFC" w14:textId="77777777" w:rsidR="00D36C6C" w:rsidRPr="0021032C" w:rsidRDefault="00D36C6C" w:rsidP="0021032C">
      <w:pPr>
        <w:autoSpaceDE w:val="0"/>
        <w:autoSpaceDN w:val="0"/>
        <w:adjustRightInd w:val="0"/>
        <w:spacing w:after="0" w:line="360" w:lineRule="auto"/>
        <w:rPr>
          <w:rFonts w:ascii="Times New Roman" w:hAnsi="Times New Roman" w:cs="Times New Roman"/>
          <w:color w:val="000000"/>
          <w:sz w:val="22"/>
          <w:szCs w:val="22"/>
        </w:rPr>
      </w:pPr>
      <w:r w:rsidRPr="0021032C">
        <w:rPr>
          <w:rFonts w:ascii="Times New Roman" w:hAnsi="Times New Roman" w:cs="Times New Roman"/>
          <w:color w:val="000000"/>
          <w:sz w:val="22"/>
          <w:szCs w:val="22"/>
        </w:rPr>
        <w:t>Because your shocks are high-frequency surprises:</w:t>
      </w:r>
    </w:p>
    <w:p w14:paraId="73B73BB8" w14:textId="77777777" w:rsidR="00D36C6C" w:rsidRPr="0021032C" w:rsidRDefault="00D36C6C" w:rsidP="0021032C">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They are already</w:t>
      </w:r>
      <w:r w:rsidRPr="0021032C">
        <w:rPr>
          <w:rStyle w:val="apple-converted-space"/>
          <w:rFonts w:ascii="Times New Roman" w:hAnsi="Times New Roman" w:cs="Times New Roman"/>
          <w:color w:val="000000"/>
          <w:sz w:val="22"/>
          <w:szCs w:val="22"/>
        </w:rPr>
        <w:t> </w:t>
      </w:r>
      <w:r w:rsidRPr="0021032C">
        <w:rPr>
          <w:rStyle w:val="Emphasis"/>
          <w:rFonts w:ascii="Times New Roman" w:hAnsi="Times New Roman" w:cs="Times New Roman"/>
          <w:color w:val="000000"/>
          <w:sz w:val="22"/>
          <w:szCs w:val="22"/>
        </w:rPr>
        <w:t>unexpected</w:t>
      </w:r>
      <w:r w:rsidRPr="0021032C">
        <w:rPr>
          <w:rStyle w:val="apple-converted-space"/>
          <w:rFonts w:ascii="Times New Roman" w:hAnsi="Times New Roman" w:cs="Times New Roman"/>
          <w:color w:val="000000"/>
          <w:sz w:val="22"/>
          <w:szCs w:val="22"/>
        </w:rPr>
        <w:t> </w:t>
      </w:r>
      <w:r w:rsidRPr="0021032C">
        <w:rPr>
          <w:rFonts w:ascii="Times New Roman" w:hAnsi="Times New Roman" w:cs="Times New Roman"/>
          <w:color w:val="000000"/>
          <w:sz w:val="22"/>
          <w:szCs w:val="22"/>
        </w:rPr>
        <w:t>components</w:t>
      </w:r>
    </w:p>
    <w:p w14:paraId="05D3D975" w14:textId="2314E58E" w:rsidR="00D36C6C" w:rsidRPr="0021032C" w:rsidRDefault="00D36C6C" w:rsidP="0021032C">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They are close to structural shocks</w:t>
      </w:r>
    </w:p>
    <w:p w14:paraId="239A68A9" w14:textId="4156C1D6" w:rsidR="00D36C6C" w:rsidRPr="0021032C" w:rsidRDefault="00D36C6C" w:rsidP="0021032C">
      <w:p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 xml:space="preserve">So: </w:t>
      </w:r>
    </w:p>
    <w:p w14:paraId="08D99353" w14:textId="66E0F7A1" w:rsidR="00D36C6C" w:rsidRPr="0021032C" w:rsidRDefault="00D36C6C" w:rsidP="0021032C">
      <w:pPr>
        <w:autoSpaceDE w:val="0"/>
        <w:autoSpaceDN w:val="0"/>
        <w:adjustRightInd w:val="0"/>
        <w:spacing w:after="0" w:line="360" w:lineRule="auto"/>
        <w:rPr>
          <w:rStyle w:val="mord"/>
          <w:rFonts w:ascii="Times New Roman" w:hAnsi="Times New Roman" w:cs="Times New Roman"/>
          <w:color w:val="000000"/>
          <w:sz w:val="22"/>
          <w:szCs w:val="22"/>
        </w:rPr>
      </w:pPr>
      <w:r w:rsidRPr="0021032C">
        <w:rPr>
          <w:rStyle w:val="mrel"/>
          <w:rFonts w:ascii="Times New Roman" w:hAnsi="Times New Roman" w:cs="Times New Roman"/>
          <w:color w:val="000000"/>
          <w:sz w:val="22"/>
          <w:szCs w:val="22"/>
        </w:rPr>
        <w:sym w:font="Symbol" w:char="F062"/>
      </w:r>
      <w:r w:rsidRPr="0021032C">
        <w:rPr>
          <w:rStyle w:val="mrel"/>
          <w:rFonts w:ascii="Times New Roman" w:hAnsi="Times New Roman" w:cs="Times New Roman"/>
          <w:color w:val="000000"/>
          <w:sz w:val="22"/>
          <w:szCs w:val="22"/>
          <w:vertAlign w:val="subscript"/>
        </w:rPr>
        <w:t>h</w:t>
      </w:r>
      <w:r w:rsidRPr="0021032C">
        <w:rPr>
          <w:rStyle w:val="mrel"/>
          <w:rFonts w:ascii="Times New Roman" w:hAnsi="Times New Roman" w:cs="Times New Roman"/>
          <w:color w:val="000000"/>
          <w:sz w:val="22"/>
          <w:szCs w:val="22"/>
        </w:rPr>
        <w:t xml:space="preserve"> = </w:t>
      </w:r>
      <w:r w:rsidRPr="0021032C">
        <w:rPr>
          <w:rStyle w:val="mord"/>
          <w:rFonts w:ascii="Times New Roman" w:hAnsi="Times New Roman" w:cs="Times New Roman"/>
          <w:color w:val="000000"/>
          <w:sz w:val="22"/>
          <w:szCs w:val="22"/>
        </w:rPr>
        <w:t>causal effect of an unexpected monetary tightening at time t on equity returns at horizon h</w:t>
      </w:r>
    </w:p>
    <w:p w14:paraId="12CA4197" w14:textId="77777777" w:rsidR="00E65439" w:rsidRPr="0021032C" w:rsidRDefault="00E65439" w:rsidP="0021032C">
      <w:pPr>
        <w:autoSpaceDE w:val="0"/>
        <w:autoSpaceDN w:val="0"/>
        <w:adjustRightInd w:val="0"/>
        <w:spacing w:after="0" w:line="360" w:lineRule="auto"/>
        <w:rPr>
          <w:rFonts w:ascii="Times New Roman" w:hAnsi="Times New Roman" w:cs="Times New Roman"/>
          <w:kern w:val="0"/>
          <w:sz w:val="22"/>
          <w:szCs w:val="22"/>
        </w:rPr>
      </w:pPr>
    </w:p>
    <w:p w14:paraId="0AB312C9" w14:textId="529A1FF2" w:rsidR="00D36C6C" w:rsidRPr="0021032C" w:rsidRDefault="00D36C6C" w:rsidP="00C5446D">
      <w:pPr>
        <w:autoSpaceDE w:val="0"/>
        <w:autoSpaceDN w:val="0"/>
        <w:adjustRightInd w:val="0"/>
        <w:spacing w:after="0" w:line="360" w:lineRule="auto"/>
        <w:jc w:val="center"/>
        <w:rPr>
          <w:rFonts w:ascii="Times New Roman" w:hAnsi="Times New Roman" w:cs="Times New Roman"/>
          <w:kern w:val="0"/>
          <w:sz w:val="22"/>
          <w:szCs w:val="22"/>
        </w:rPr>
      </w:pPr>
      <w:r w:rsidRPr="0021032C">
        <w:rPr>
          <w:rFonts w:ascii="Times New Roman" w:hAnsi="Times New Roman" w:cs="Times New Roman"/>
          <w:noProof/>
          <w:kern w:val="0"/>
          <w:sz w:val="22"/>
          <w:szCs w:val="22"/>
        </w:rPr>
        <w:lastRenderedPageBreak/>
        <w:drawing>
          <wp:inline distT="0" distB="0" distL="0" distR="0" wp14:anchorId="7DC8704C" wp14:editId="0CA1AD7E">
            <wp:extent cx="3633305" cy="3230380"/>
            <wp:effectExtent l="0" t="0" r="0" b="0"/>
            <wp:docPr id="13003097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09772" name="Picture 130030977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42624" cy="3238666"/>
                    </a:xfrm>
                    <a:prstGeom prst="rect">
                      <a:avLst/>
                    </a:prstGeom>
                  </pic:spPr>
                </pic:pic>
              </a:graphicData>
            </a:graphic>
          </wp:inline>
        </w:drawing>
      </w:r>
    </w:p>
    <w:p w14:paraId="48A3F982" w14:textId="77777777" w:rsidR="00D36C6C" w:rsidRPr="0021032C" w:rsidRDefault="00D36C6C" w:rsidP="0021032C">
      <w:pPr>
        <w:autoSpaceDE w:val="0"/>
        <w:autoSpaceDN w:val="0"/>
        <w:adjustRightInd w:val="0"/>
        <w:spacing w:after="0" w:line="360" w:lineRule="auto"/>
        <w:rPr>
          <w:rFonts w:ascii="Times New Roman" w:hAnsi="Times New Roman" w:cs="Times New Roman"/>
          <w:kern w:val="0"/>
          <w:sz w:val="22"/>
          <w:szCs w:val="22"/>
        </w:rPr>
      </w:pPr>
    </w:p>
    <w:p w14:paraId="22C19F92" w14:textId="77777777" w:rsidR="00D36C6C" w:rsidRPr="0021032C" w:rsidRDefault="00D36C6C" w:rsidP="0021032C">
      <w:pPr>
        <w:autoSpaceDE w:val="0"/>
        <w:autoSpaceDN w:val="0"/>
        <w:adjustRightInd w:val="0"/>
        <w:spacing w:after="0" w:line="360" w:lineRule="auto"/>
        <w:rPr>
          <w:rFonts w:ascii="Times New Roman" w:hAnsi="Times New Roman" w:cs="Times New Roman"/>
          <w:kern w:val="0"/>
          <w:sz w:val="22"/>
          <w:szCs w:val="22"/>
        </w:rPr>
      </w:pPr>
    </w:p>
    <w:p w14:paraId="770E293E" w14:textId="41DCD104" w:rsidR="00D36C6C" w:rsidRPr="0021032C" w:rsidRDefault="00D36C6C" w:rsidP="0021032C">
      <w:pPr>
        <w:autoSpaceDE w:val="0"/>
        <w:autoSpaceDN w:val="0"/>
        <w:adjustRightInd w:val="0"/>
        <w:spacing w:after="0" w:line="360" w:lineRule="auto"/>
        <w:rPr>
          <w:rFonts w:ascii="Times New Roman" w:hAnsi="Times New Roman" w:cs="Times New Roman"/>
          <w:kern w:val="0"/>
          <w:sz w:val="22"/>
          <w:szCs w:val="22"/>
        </w:rPr>
      </w:pPr>
    </w:p>
    <w:p w14:paraId="23F69DB5" w14:textId="37BD8483" w:rsidR="00D36C6C" w:rsidRPr="0021032C" w:rsidRDefault="00D36C6C" w:rsidP="00C5446D">
      <w:pPr>
        <w:autoSpaceDE w:val="0"/>
        <w:autoSpaceDN w:val="0"/>
        <w:adjustRightInd w:val="0"/>
        <w:spacing w:after="0" w:line="360" w:lineRule="auto"/>
        <w:jc w:val="center"/>
        <w:rPr>
          <w:rFonts w:ascii="Times New Roman" w:hAnsi="Times New Roman" w:cs="Times New Roman"/>
          <w:kern w:val="0"/>
          <w:sz w:val="22"/>
          <w:szCs w:val="22"/>
        </w:rPr>
      </w:pPr>
      <w:r w:rsidRPr="0021032C">
        <w:rPr>
          <w:rFonts w:ascii="Times New Roman" w:hAnsi="Times New Roman" w:cs="Times New Roman"/>
          <w:noProof/>
          <w:kern w:val="0"/>
          <w:sz w:val="22"/>
          <w:szCs w:val="22"/>
        </w:rPr>
        <w:drawing>
          <wp:inline distT="0" distB="0" distL="0" distR="0" wp14:anchorId="514F186E" wp14:editId="43F4A319">
            <wp:extent cx="3788330" cy="3657600"/>
            <wp:effectExtent l="0" t="0" r="0" b="0"/>
            <wp:docPr id="543120610" name="Picture 3" descr="A screenshot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20610" name="Picture 3" descr="A screenshot of a white pap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97998" cy="3666935"/>
                    </a:xfrm>
                    <a:prstGeom prst="rect">
                      <a:avLst/>
                    </a:prstGeom>
                  </pic:spPr>
                </pic:pic>
              </a:graphicData>
            </a:graphic>
          </wp:inline>
        </w:drawing>
      </w:r>
    </w:p>
    <w:p w14:paraId="68F4F925" w14:textId="37758F20" w:rsidR="006F6E22" w:rsidRPr="0021032C" w:rsidRDefault="00D36C6C" w:rsidP="00C5446D">
      <w:pPr>
        <w:autoSpaceDE w:val="0"/>
        <w:autoSpaceDN w:val="0"/>
        <w:adjustRightInd w:val="0"/>
        <w:spacing w:after="0" w:line="360" w:lineRule="auto"/>
        <w:jc w:val="center"/>
        <w:rPr>
          <w:rFonts w:ascii="Times New Roman" w:hAnsi="Times New Roman" w:cs="Times New Roman"/>
          <w:kern w:val="0"/>
          <w:sz w:val="22"/>
          <w:szCs w:val="22"/>
        </w:rPr>
      </w:pPr>
      <w:r w:rsidRPr="0021032C">
        <w:rPr>
          <w:rFonts w:ascii="Times New Roman" w:hAnsi="Times New Roman" w:cs="Times New Roman"/>
          <w:noProof/>
          <w:kern w:val="0"/>
          <w:sz w:val="22"/>
          <w:szCs w:val="22"/>
        </w:rPr>
        <w:lastRenderedPageBreak/>
        <w:drawing>
          <wp:inline distT="0" distB="0" distL="0" distR="0" wp14:anchorId="3C3DF3F7" wp14:editId="75511DE4">
            <wp:extent cx="3477718" cy="2901442"/>
            <wp:effectExtent l="0" t="0" r="2540" b="0"/>
            <wp:docPr id="145459163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91630" name="Picture 4"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84266" cy="2906905"/>
                    </a:xfrm>
                    <a:prstGeom prst="rect">
                      <a:avLst/>
                    </a:prstGeom>
                  </pic:spPr>
                </pic:pic>
              </a:graphicData>
            </a:graphic>
          </wp:inline>
        </w:drawing>
      </w:r>
    </w:p>
    <w:p w14:paraId="38D977D8" w14:textId="77777777" w:rsidR="006F6E22" w:rsidRPr="0021032C" w:rsidRDefault="006F6E22" w:rsidP="0021032C">
      <w:pPr>
        <w:autoSpaceDE w:val="0"/>
        <w:autoSpaceDN w:val="0"/>
        <w:adjustRightInd w:val="0"/>
        <w:spacing w:after="0" w:line="360" w:lineRule="auto"/>
        <w:rPr>
          <w:rFonts w:ascii="Times New Roman" w:hAnsi="Times New Roman" w:cs="Times New Roman"/>
          <w:kern w:val="0"/>
          <w:sz w:val="22"/>
          <w:szCs w:val="22"/>
        </w:rPr>
      </w:pPr>
    </w:p>
    <w:p w14:paraId="6CE2F37A" w14:textId="77777777" w:rsidR="006F6E22" w:rsidRPr="0021032C" w:rsidRDefault="006F6E22" w:rsidP="0021032C">
      <w:pPr>
        <w:autoSpaceDE w:val="0"/>
        <w:autoSpaceDN w:val="0"/>
        <w:adjustRightInd w:val="0"/>
        <w:spacing w:after="0" w:line="360" w:lineRule="auto"/>
        <w:rPr>
          <w:rFonts w:ascii="Times New Roman" w:hAnsi="Times New Roman" w:cs="Times New Roman"/>
          <w:kern w:val="0"/>
          <w:sz w:val="22"/>
          <w:szCs w:val="22"/>
        </w:rPr>
      </w:pPr>
    </w:p>
    <w:p w14:paraId="6DFD5084" w14:textId="77777777" w:rsidR="006F6E22" w:rsidRPr="0021032C" w:rsidRDefault="006F6E22" w:rsidP="0021032C">
      <w:pPr>
        <w:autoSpaceDE w:val="0"/>
        <w:autoSpaceDN w:val="0"/>
        <w:adjustRightInd w:val="0"/>
        <w:spacing w:after="0" w:line="360" w:lineRule="auto"/>
        <w:rPr>
          <w:rFonts w:ascii="Times New Roman" w:hAnsi="Times New Roman" w:cs="Times New Roman"/>
          <w:kern w:val="0"/>
          <w:sz w:val="22"/>
          <w:szCs w:val="22"/>
        </w:rPr>
      </w:pPr>
    </w:p>
    <w:p w14:paraId="7AA7629E" w14:textId="77777777" w:rsidR="00F349DF" w:rsidRDefault="00F349DF">
      <w:pPr>
        <w:rPr>
          <w:rFonts w:ascii="Times New Roman" w:hAnsi="Times New Roman" w:cs="Times New Roman"/>
          <w:kern w:val="0"/>
          <w:sz w:val="22"/>
          <w:szCs w:val="22"/>
        </w:rPr>
      </w:pPr>
      <w:r>
        <w:rPr>
          <w:rFonts w:ascii="Times New Roman" w:hAnsi="Times New Roman" w:cs="Times New Roman"/>
          <w:kern w:val="0"/>
          <w:sz w:val="22"/>
          <w:szCs w:val="22"/>
        </w:rPr>
        <w:br w:type="page"/>
      </w:r>
    </w:p>
    <w:p w14:paraId="7355A3B0" w14:textId="25098E5E" w:rsidR="006F6E22" w:rsidRPr="0021032C" w:rsidRDefault="006F6E22" w:rsidP="0021032C">
      <w:pPr>
        <w:autoSpaceDE w:val="0"/>
        <w:autoSpaceDN w:val="0"/>
        <w:adjustRightInd w:val="0"/>
        <w:spacing w:after="0" w:line="360" w:lineRule="auto"/>
        <w:rPr>
          <w:rFonts w:ascii="Times New Roman" w:hAnsi="Times New Roman" w:cs="Times New Roman"/>
          <w:kern w:val="0"/>
          <w:sz w:val="22"/>
          <w:szCs w:val="22"/>
          <w:u w:val="single"/>
        </w:rPr>
      </w:pPr>
      <w:r w:rsidRPr="0021032C">
        <w:rPr>
          <w:rFonts w:ascii="Times New Roman" w:hAnsi="Times New Roman" w:cs="Times New Roman"/>
          <w:kern w:val="0"/>
          <w:sz w:val="22"/>
          <w:szCs w:val="22"/>
          <w:u w:val="single"/>
        </w:rPr>
        <w:lastRenderedPageBreak/>
        <w:t>Output:</w:t>
      </w:r>
    </w:p>
    <w:p w14:paraId="79E48C0C" w14:textId="77777777" w:rsidR="006F6E22" w:rsidRPr="0021032C" w:rsidRDefault="006F6E22" w:rsidP="0021032C">
      <w:pPr>
        <w:autoSpaceDE w:val="0"/>
        <w:autoSpaceDN w:val="0"/>
        <w:adjustRightInd w:val="0"/>
        <w:spacing w:after="0" w:line="360" w:lineRule="auto"/>
        <w:rPr>
          <w:rFonts w:ascii="Times New Roman" w:hAnsi="Times New Roman" w:cs="Times New Roman"/>
          <w:color w:val="000000"/>
          <w:sz w:val="22"/>
          <w:szCs w:val="22"/>
        </w:rPr>
      </w:pPr>
      <w:r w:rsidRPr="0021032C">
        <w:rPr>
          <w:rFonts w:ascii="Times New Roman" w:hAnsi="Times New Roman" w:cs="Times New Roman"/>
          <w:color w:val="000000"/>
          <w:sz w:val="22"/>
          <w:szCs w:val="22"/>
        </w:rPr>
        <w:t>Two IRFs:</w:t>
      </w:r>
    </w:p>
    <w:p w14:paraId="1812C8B8" w14:textId="77777777" w:rsidR="006F6E22" w:rsidRPr="0021032C" w:rsidRDefault="006F6E22" w:rsidP="0021032C">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Tightening shock IRF</w:t>
      </w:r>
    </w:p>
    <w:p w14:paraId="61E86B83" w14:textId="77777777" w:rsidR="006F6E22" w:rsidRPr="0021032C" w:rsidRDefault="006F6E22" w:rsidP="0021032C">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Easing shock IRF</w:t>
      </w:r>
    </w:p>
    <w:p w14:paraId="70F2F856" w14:textId="77777777" w:rsidR="006F6E22" w:rsidRPr="0021032C" w:rsidRDefault="006F6E22" w:rsidP="0021032C">
      <w:pPr>
        <w:autoSpaceDE w:val="0"/>
        <w:autoSpaceDN w:val="0"/>
        <w:adjustRightInd w:val="0"/>
        <w:spacing w:after="0" w:line="360" w:lineRule="auto"/>
        <w:rPr>
          <w:rFonts w:ascii="Times New Roman" w:hAnsi="Times New Roman" w:cs="Times New Roman"/>
          <w:color w:val="000000"/>
          <w:sz w:val="22"/>
          <w:szCs w:val="22"/>
        </w:rPr>
      </w:pPr>
      <w:r w:rsidRPr="0021032C">
        <w:rPr>
          <w:rFonts w:ascii="Times New Roman" w:hAnsi="Times New Roman" w:cs="Times New Roman"/>
          <w:color w:val="000000"/>
          <w:sz w:val="22"/>
          <w:szCs w:val="22"/>
        </w:rPr>
        <w:t>With confidence bands.</w:t>
      </w:r>
    </w:p>
    <w:p w14:paraId="5CC62F0A" w14:textId="77777777" w:rsidR="006F6E22" w:rsidRPr="0021032C" w:rsidRDefault="006F6E22" w:rsidP="0021032C">
      <w:pPr>
        <w:autoSpaceDE w:val="0"/>
        <w:autoSpaceDN w:val="0"/>
        <w:adjustRightInd w:val="0"/>
        <w:spacing w:after="0" w:line="360" w:lineRule="auto"/>
        <w:rPr>
          <w:rFonts w:ascii="Times New Roman" w:hAnsi="Times New Roman" w:cs="Times New Roman"/>
          <w:color w:val="000000"/>
          <w:sz w:val="22"/>
          <w:szCs w:val="22"/>
        </w:rPr>
      </w:pPr>
    </w:p>
    <w:p w14:paraId="518A72F1" w14:textId="12FF0742" w:rsidR="006F6E22" w:rsidRPr="0021032C" w:rsidRDefault="006F6E22" w:rsidP="0021032C">
      <w:pPr>
        <w:autoSpaceDE w:val="0"/>
        <w:autoSpaceDN w:val="0"/>
        <w:adjustRightInd w:val="0"/>
        <w:spacing w:after="0" w:line="360" w:lineRule="auto"/>
        <w:rPr>
          <w:rFonts w:ascii="Times New Roman" w:hAnsi="Times New Roman" w:cs="Times New Roman"/>
          <w:color w:val="000000"/>
          <w:sz w:val="22"/>
          <w:szCs w:val="22"/>
        </w:rPr>
      </w:pPr>
      <w:r w:rsidRPr="0021032C">
        <w:rPr>
          <w:rFonts w:ascii="Times New Roman" w:hAnsi="Times New Roman" w:cs="Times New Roman"/>
          <w:color w:val="000000"/>
          <w:sz w:val="22"/>
          <w:szCs w:val="22"/>
        </w:rPr>
        <w:t>The asymmetry will show as:</w:t>
      </w:r>
    </w:p>
    <w:p w14:paraId="0E71FED5" w14:textId="77777777" w:rsidR="006F6E22" w:rsidRPr="0021032C" w:rsidRDefault="006F6E22" w:rsidP="0021032C">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Larger negative effect for tightening?</w:t>
      </w:r>
    </w:p>
    <w:p w14:paraId="21C11263" w14:textId="77777777" w:rsidR="006F6E22" w:rsidRPr="0021032C" w:rsidRDefault="006F6E22" w:rsidP="0021032C">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Smaller positive effect for easing?</w:t>
      </w:r>
    </w:p>
    <w:p w14:paraId="196C1D61" w14:textId="77777777" w:rsidR="006F6E22" w:rsidRPr="0021032C" w:rsidRDefault="006F6E22" w:rsidP="0021032C">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Different persistence?</w:t>
      </w:r>
    </w:p>
    <w:p w14:paraId="36A64296" w14:textId="63AFDD3D" w:rsidR="006F6E22" w:rsidRPr="0021032C" w:rsidRDefault="006F6E22" w:rsidP="0021032C">
      <w:p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That’s your contribution.</w:t>
      </w:r>
    </w:p>
    <w:p w14:paraId="3A3B2544" w14:textId="77777777" w:rsidR="00E65439" w:rsidRPr="0021032C" w:rsidRDefault="00E65439" w:rsidP="0021032C">
      <w:pPr>
        <w:autoSpaceDE w:val="0"/>
        <w:autoSpaceDN w:val="0"/>
        <w:adjustRightInd w:val="0"/>
        <w:spacing w:after="0" w:line="360" w:lineRule="auto"/>
        <w:rPr>
          <w:rFonts w:ascii="Times New Roman" w:hAnsi="Times New Roman" w:cs="Times New Roman"/>
          <w:kern w:val="0"/>
          <w:sz w:val="22"/>
          <w:szCs w:val="22"/>
        </w:rPr>
      </w:pPr>
    </w:p>
    <w:p w14:paraId="18DF59BA" w14:textId="11A630B1" w:rsidR="00E65439" w:rsidRDefault="00E65439" w:rsidP="0021032C">
      <w:pPr>
        <w:autoSpaceDE w:val="0"/>
        <w:autoSpaceDN w:val="0"/>
        <w:adjustRightInd w:val="0"/>
        <w:spacing w:after="0" w:line="360" w:lineRule="auto"/>
        <w:rPr>
          <w:rFonts w:ascii="Times New Roman" w:hAnsi="Times New Roman" w:cs="Times New Roman"/>
          <w:color w:val="000000"/>
          <w:sz w:val="22"/>
          <w:szCs w:val="22"/>
        </w:rPr>
      </w:pPr>
      <w:r w:rsidRPr="0021032C">
        <w:rPr>
          <w:rFonts w:ascii="Times New Roman" w:hAnsi="Times New Roman" w:cs="Times New Roman"/>
          <w:color w:val="000000"/>
          <w:sz w:val="22"/>
          <w:szCs w:val="22"/>
        </w:rPr>
        <w:t>BoE working paper – VAR-based IRFs =&gt; I’m using LPs</w:t>
      </w:r>
    </w:p>
    <w:p w14:paraId="28B1FE9F" w14:textId="77777777" w:rsidR="007E742D" w:rsidRPr="0021032C" w:rsidRDefault="007E742D" w:rsidP="0021032C">
      <w:pPr>
        <w:autoSpaceDE w:val="0"/>
        <w:autoSpaceDN w:val="0"/>
        <w:adjustRightInd w:val="0"/>
        <w:spacing w:after="0" w:line="360" w:lineRule="auto"/>
        <w:rPr>
          <w:rFonts w:ascii="Times New Roman" w:hAnsi="Times New Roman" w:cs="Times New Roman"/>
          <w:color w:val="000000"/>
          <w:sz w:val="22"/>
          <w:szCs w:val="22"/>
        </w:rPr>
      </w:pPr>
    </w:p>
    <w:p w14:paraId="512E8BDA" w14:textId="5BA3FF78" w:rsidR="00E65439" w:rsidRPr="0021032C" w:rsidRDefault="00E65439" w:rsidP="0021032C">
      <w:pPr>
        <w:autoSpaceDE w:val="0"/>
        <w:autoSpaceDN w:val="0"/>
        <w:adjustRightInd w:val="0"/>
        <w:spacing w:after="0" w:line="360" w:lineRule="auto"/>
        <w:rPr>
          <w:rFonts w:ascii="Times New Roman" w:hAnsi="Times New Roman" w:cs="Times New Roman"/>
          <w:color w:val="000000"/>
          <w:sz w:val="22"/>
          <w:szCs w:val="22"/>
        </w:rPr>
      </w:pPr>
      <w:r w:rsidRPr="0021032C">
        <w:rPr>
          <w:rFonts w:ascii="Times New Roman" w:hAnsi="Times New Roman" w:cs="Times New Roman"/>
          <w:color w:val="000000"/>
          <w:sz w:val="22"/>
          <w:szCs w:val="22"/>
        </w:rPr>
        <w:t>Extensions:</w:t>
      </w:r>
    </w:p>
    <w:p w14:paraId="794E9FC4" w14:textId="3302A9FD" w:rsidR="004F1711" w:rsidRPr="0021032C" w:rsidRDefault="00E65439" w:rsidP="0021032C">
      <w:p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noProof/>
          <w:kern w:val="0"/>
          <w:sz w:val="22"/>
          <w:szCs w:val="22"/>
        </w:rPr>
        <w:drawing>
          <wp:inline distT="0" distB="0" distL="0" distR="0" wp14:anchorId="58F28468" wp14:editId="33F5D65C">
            <wp:extent cx="3395272" cy="3688731"/>
            <wp:effectExtent l="0" t="0" r="0" b="0"/>
            <wp:docPr id="108243802" name="Picture 5"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3802" name="Picture 5" descr="A screenshot of a cell phon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07982" cy="3702540"/>
                    </a:xfrm>
                    <a:prstGeom prst="rect">
                      <a:avLst/>
                    </a:prstGeom>
                  </pic:spPr>
                </pic:pic>
              </a:graphicData>
            </a:graphic>
          </wp:inline>
        </w:drawing>
      </w:r>
    </w:p>
    <w:p w14:paraId="43F014B5" w14:textId="77777777" w:rsidR="007E742D" w:rsidRDefault="007E742D" w:rsidP="0021032C">
      <w:pPr>
        <w:autoSpaceDE w:val="0"/>
        <w:autoSpaceDN w:val="0"/>
        <w:adjustRightInd w:val="0"/>
        <w:spacing w:after="0" w:line="360" w:lineRule="auto"/>
        <w:rPr>
          <w:rFonts w:ascii="Times New Roman" w:hAnsi="Times New Roman" w:cs="Times New Roman"/>
          <w:kern w:val="0"/>
          <w:sz w:val="22"/>
          <w:szCs w:val="22"/>
          <w:u w:val="single"/>
        </w:rPr>
      </w:pPr>
    </w:p>
    <w:p w14:paraId="6B8C2EBF" w14:textId="77777777" w:rsidR="007E742D" w:rsidRDefault="007E742D">
      <w:pPr>
        <w:rPr>
          <w:rFonts w:ascii="Times New Roman" w:hAnsi="Times New Roman" w:cs="Times New Roman"/>
          <w:kern w:val="0"/>
          <w:sz w:val="22"/>
          <w:szCs w:val="22"/>
          <w:u w:val="single"/>
        </w:rPr>
      </w:pPr>
      <w:r>
        <w:rPr>
          <w:rFonts w:ascii="Times New Roman" w:hAnsi="Times New Roman" w:cs="Times New Roman"/>
          <w:kern w:val="0"/>
          <w:sz w:val="22"/>
          <w:szCs w:val="22"/>
          <w:u w:val="single"/>
        </w:rPr>
        <w:br w:type="page"/>
      </w:r>
    </w:p>
    <w:p w14:paraId="21841FBE" w14:textId="59F2DB15" w:rsidR="00D04AAD" w:rsidRPr="00702C6B" w:rsidRDefault="00D04AAD" w:rsidP="00702C6B">
      <w:pPr>
        <w:autoSpaceDE w:val="0"/>
        <w:autoSpaceDN w:val="0"/>
        <w:adjustRightInd w:val="0"/>
        <w:spacing w:after="0" w:line="360" w:lineRule="auto"/>
        <w:rPr>
          <w:rFonts w:ascii="Times New Roman" w:hAnsi="Times New Roman" w:cs="Times New Roman"/>
          <w:kern w:val="0"/>
          <w:sz w:val="22"/>
          <w:szCs w:val="22"/>
          <w:u w:val="single"/>
        </w:rPr>
      </w:pPr>
      <w:r w:rsidRPr="0021032C">
        <w:rPr>
          <w:rFonts w:ascii="Times New Roman" w:hAnsi="Times New Roman" w:cs="Times New Roman"/>
          <w:kern w:val="0"/>
          <w:sz w:val="22"/>
          <w:szCs w:val="22"/>
          <w:u w:val="single"/>
        </w:rPr>
        <w:lastRenderedPageBreak/>
        <w:t>Citing UKMPD</w:t>
      </w:r>
      <w:r w:rsidR="00702C6B">
        <w:rPr>
          <w:rFonts w:ascii="Times New Roman" w:hAnsi="Times New Roman" w:cs="Times New Roman"/>
          <w:kern w:val="0"/>
          <w:sz w:val="22"/>
          <w:szCs w:val="22"/>
          <w:u w:val="single"/>
        </w:rPr>
        <w:t>:</w:t>
      </w:r>
      <w:r w:rsidR="00702C6B">
        <w:rPr>
          <w:rFonts w:ascii="Times New Roman" w:eastAsia="Times New Roman" w:hAnsi="Times New Roman" w:cs="Times New Roman"/>
          <w:color w:val="000000"/>
          <w:kern w:val="0"/>
          <w:sz w:val="22"/>
          <w:szCs w:val="22"/>
          <w:lang w:eastAsia="en-GB"/>
          <w14:ligatures w14:val="none"/>
        </w:rPr>
        <w:t xml:space="preserve"> B</w:t>
      </w:r>
      <w:r w:rsidRPr="0021032C">
        <w:rPr>
          <w:rFonts w:ascii="Times New Roman" w:eastAsia="Times New Roman" w:hAnsi="Times New Roman" w:cs="Times New Roman"/>
          <w:color w:val="000000"/>
          <w:kern w:val="0"/>
          <w:sz w:val="22"/>
          <w:szCs w:val="22"/>
          <w:lang w:eastAsia="en-GB"/>
          <w14:ligatures w14:val="none"/>
        </w:rPr>
        <w:t>raun, Miranda-Agrippino and Saha, "Measuring Monetary Policy in the UK: the UK Monetary Policy Event-Study Database", Journal of Monetary Economics (2024)</w:t>
      </w:r>
    </w:p>
    <w:p w14:paraId="146445D9" w14:textId="77777777" w:rsidR="00D04AAD" w:rsidRPr="0021032C" w:rsidRDefault="00D04AAD" w:rsidP="0021032C">
      <w:pPr>
        <w:spacing w:after="0" w:line="360" w:lineRule="auto"/>
        <w:rPr>
          <w:rFonts w:ascii="Times New Roman" w:eastAsia="Times New Roman" w:hAnsi="Times New Roman" w:cs="Times New Roman"/>
          <w:color w:val="000000"/>
          <w:kern w:val="0"/>
          <w:sz w:val="22"/>
          <w:szCs w:val="22"/>
          <w:u w:val="single"/>
          <w:lang w:eastAsia="en-GB"/>
          <w14:ligatures w14:val="none"/>
        </w:rPr>
      </w:pPr>
    </w:p>
    <w:p w14:paraId="6FFDAC91" w14:textId="0B43D1DB" w:rsidR="007576AA" w:rsidRPr="0021032C" w:rsidRDefault="007576AA" w:rsidP="0021032C">
      <w:pPr>
        <w:pStyle w:val="p1"/>
        <w:spacing w:line="360" w:lineRule="auto"/>
        <w:rPr>
          <w:rFonts w:ascii="Times New Roman" w:hAnsi="Times New Roman"/>
          <w:sz w:val="22"/>
          <w:szCs w:val="22"/>
        </w:rPr>
      </w:pPr>
      <w:r w:rsidRPr="0021032C">
        <w:rPr>
          <w:rFonts w:ascii="Times New Roman" w:hAnsi="Times New Roman"/>
          <w:sz w:val="22"/>
          <w:szCs w:val="22"/>
        </w:rPr>
        <w:t>Jarocinski, Marek and Peter Karadi (2020) “Deconstructing Monetary Policy Surprises—The Role of Information Shocks,” American Economic Journal: Macroeconomics, Vol. 12, No. 2, pp. 1–43, April.</w:t>
      </w:r>
    </w:p>
    <w:p w14:paraId="00FAA2EA" w14:textId="77777777" w:rsidR="007576AA" w:rsidRPr="0021032C" w:rsidRDefault="007576AA" w:rsidP="0021032C">
      <w:pPr>
        <w:spacing w:after="0" w:line="360" w:lineRule="auto"/>
        <w:rPr>
          <w:rFonts w:ascii="Times New Roman" w:eastAsia="Times New Roman" w:hAnsi="Times New Roman" w:cs="Times New Roman"/>
          <w:color w:val="000000"/>
          <w:kern w:val="0"/>
          <w:sz w:val="22"/>
          <w:szCs w:val="22"/>
          <w:u w:val="single"/>
          <w:lang w:eastAsia="en-GB"/>
          <w14:ligatures w14:val="none"/>
        </w:rPr>
      </w:pPr>
    </w:p>
    <w:p w14:paraId="65D83F91"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effect of the Bank of England’s communication using the variance of asset prices around announcements</w:t>
      </w:r>
    </w:p>
    <w:p w14:paraId="340B7E2F"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Reeves, Rachel and Michael Sawicki (2005) “Do Financial Markets React to Bank of England Communication?,” Discussion Papers 15, Bank of England, External MPC Unit.</w:t>
      </w:r>
    </w:p>
    <w:p w14:paraId="37F4A91E" w14:textId="77777777" w:rsidR="00D04AAD" w:rsidRPr="0021032C" w:rsidRDefault="00D04AAD" w:rsidP="0021032C">
      <w:pPr>
        <w:pStyle w:val="p1"/>
        <w:spacing w:line="360" w:lineRule="auto"/>
        <w:rPr>
          <w:rFonts w:ascii="Times New Roman" w:hAnsi="Times New Roman"/>
          <w:sz w:val="22"/>
          <w:szCs w:val="22"/>
        </w:rPr>
      </w:pPr>
    </w:p>
    <w:p w14:paraId="4008A7C9"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detailed analysis of the information content of MPC speeches, and have shown that financial markets respond strongly to this type of communication</w:t>
      </w:r>
    </w:p>
    <w:p w14:paraId="2719933A"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 xml:space="preserve">Mumtaz, Haroon, Jumana </w:t>
      </w:r>
      <w:proofErr w:type="spellStart"/>
      <w:r w:rsidRPr="0021032C">
        <w:rPr>
          <w:rFonts w:ascii="Times New Roman" w:hAnsi="Times New Roman"/>
          <w:sz w:val="22"/>
          <w:szCs w:val="22"/>
        </w:rPr>
        <w:t>Saleheen</w:t>
      </w:r>
      <w:proofErr w:type="spellEnd"/>
      <w:r w:rsidRPr="0021032C">
        <w:rPr>
          <w:rFonts w:ascii="Times New Roman" w:hAnsi="Times New Roman"/>
          <w:sz w:val="22"/>
          <w:szCs w:val="22"/>
        </w:rPr>
        <w:t>, and Roxane Spitznagel (2023) “Keep it Simple: Central Bank Communication and Asset Prices,” Working Papers 960, Queen Mary University of London, School of Economics and Finance.</w:t>
      </w:r>
    </w:p>
    <w:p w14:paraId="1B31DD4E" w14:textId="77777777" w:rsidR="00D04AAD" w:rsidRPr="0021032C" w:rsidRDefault="00D04AAD" w:rsidP="0021032C">
      <w:pPr>
        <w:pStyle w:val="p1"/>
        <w:spacing w:line="360" w:lineRule="auto"/>
        <w:rPr>
          <w:rFonts w:ascii="Times New Roman" w:hAnsi="Times New Roman"/>
          <w:sz w:val="22"/>
          <w:szCs w:val="22"/>
        </w:rPr>
      </w:pPr>
    </w:p>
    <w:p w14:paraId="6303CCE1"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apply a term structure model to monetary policy surprises in gilt yields to study the monetary policy transmission in the UK during QE.</w:t>
      </w:r>
    </w:p>
    <w:p w14:paraId="23D7C1E3"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Kaminska, Iryna and Haroon Mumtaz (2022) “Monetary policy transmission during QE times: role of expectations and term premia channel,” Bank of England working papers 978, Bank of England.</w:t>
      </w:r>
    </w:p>
    <w:p w14:paraId="2735D564" w14:textId="77777777" w:rsidR="00D04AAD" w:rsidRPr="0021032C" w:rsidRDefault="00D04AAD" w:rsidP="0021032C">
      <w:pPr>
        <w:pStyle w:val="p1"/>
        <w:spacing w:line="360" w:lineRule="auto"/>
        <w:rPr>
          <w:rFonts w:ascii="Times New Roman" w:hAnsi="Times New Roman"/>
          <w:sz w:val="22"/>
          <w:szCs w:val="22"/>
        </w:rPr>
      </w:pPr>
    </w:p>
    <w:p w14:paraId="57483272"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estimate the causal effects of monetary policy, building on the seminal work of</w:t>
      </w:r>
    </w:p>
    <w:p w14:paraId="4CCA24B5" w14:textId="4C693859" w:rsidR="00D04AAD"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Kuttner, Kenneth N (2001) “Monetary policy surprises and interest rates: Evidence from the Fed funds futures market,” Journal of Monetary Economics, Vol. 47, No. 3, pp. 523–544.</w:t>
      </w:r>
    </w:p>
    <w:p w14:paraId="4E40F3E9" w14:textId="77777777" w:rsidR="00C5446D" w:rsidRPr="00972F1A" w:rsidRDefault="00C5446D" w:rsidP="0021032C">
      <w:pPr>
        <w:pStyle w:val="p1"/>
        <w:spacing w:line="360" w:lineRule="auto"/>
        <w:rPr>
          <w:rFonts w:ascii="Times New Roman" w:hAnsi="Times New Roman"/>
          <w:sz w:val="22"/>
          <w:szCs w:val="22"/>
        </w:rPr>
      </w:pPr>
    </w:p>
    <w:p w14:paraId="2C8473D8" w14:textId="60D6E86A" w:rsidR="00972F1A" w:rsidRPr="00972F1A" w:rsidRDefault="00972F1A" w:rsidP="00972F1A">
      <w:pPr>
        <w:pStyle w:val="p1"/>
        <w:rPr>
          <w:rFonts w:ascii="Times New Roman" w:hAnsi="Times New Roman"/>
          <w:sz w:val="22"/>
          <w:szCs w:val="22"/>
        </w:rPr>
      </w:pPr>
      <w:r w:rsidRPr="00972F1A">
        <w:rPr>
          <w:rFonts w:ascii="Times New Roman" w:hAnsi="Times New Roman"/>
          <w:sz w:val="22"/>
          <w:szCs w:val="22"/>
        </w:rPr>
        <w:t>Joyce, Michael, Jonathan Relleen, and Steffen Sorensen (2008) “Measuring monetary policy expectations from financial market instruments,” Bank of England working papers 356, Bank of England.</w:t>
      </w:r>
    </w:p>
    <w:p w14:paraId="45955319" w14:textId="77777777" w:rsidR="00C5446D" w:rsidRPr="0021032C" w:rsidRDefault="00C5446D" w:rsidP="0021032C">
      <w:pPr>
        <w:pStyle w:val="p1"/>
        <w:spacing w:line="360" w:lineRule="auto"/>
        <w:rPr>
          <w:rFonts w:ascii="Times New Roman" w:hAnsi="Times New Roman"/>
          <w:sz w:val="22"/>
          <w:szCs w:val="22"/>
        </w:rPr>
      </w:pPr>
    </w:p>
    <w:p w14:paraId="01EF11B8" w14:textId="77777777" w:rsidR="00D04AAD" w:rsidRPr="0021032C" w:rsidRDefault="00D04AAD" w:rsidP="0021032C">
      <w:pPr>
        <w:pStyle w:val="p1"/>
        <w:spacing w:line="360" w:lineRule="auto"/>
        <w:rPr>
          <w:rFonts w:ascii="Times New Roman" w:hAnsi="Times New Roman"/>
          <w:sz w:val="22"/>
          <w:szCs w:val="22"/>
        </w:rPr>
      </w:pPr>
    </w:p>
    <w:p w14:paraId="4B876AC7"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Cloyne, James and Patrick Hürtgen (2016) “The Macroeconomic Effects of Monetary Policy: A New Measure for the United Kingdom,” American Economic Journal: Macroeconomics, Vol. 8, No. 4, pp. 75–102, October</w:t>
      </w:r>
    </w:p>
    <w:p w14:paraId="25183135" w14:textId="77777777" w:rsidR="00D04AAD" w:rsidRPr="0021032C" w:rsidRDefault="00D04AAD" w:rsidP="0021032C">
      <w:pPr>
        <w:pStyle w:val="p1"/>
        <w:spacing w:line="360" w:lineRule="auto"/>
        <w:rPr>
          <w:rFonts w:ascii="Times New Roman" w:hAnsi="Times New Roman"/>
          <w:sz w:val="22"/>
          <w:szCs w:val="22"/>
        </w:rPr>
      </w:pPr>
    </w:p>
    <w:p w14:paraId="2C2491BA"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lastRenderedPageBreak/>
        <w:t>Gürkaynak, Refet S, Brian Sack, and Eric Swanson (2005) “Do Actions Speak Louder Than Words? The Response of Asset Prices to Monetary Policy Actions and Statements,” International Journal of Central Banking, Vol. 1, No. 1, May.</w:t>
      </w:r>
    </w:p>
    <w:p w14:paraId="11F74D63" w14:textId="77777777" w:rsidR="00D04AAD" w:rsidRPr="0021032C" w:rsidRDefault="00D04AAD" w:rsidP="0021032C">
      <w:pPr>
        <w:pStyle w:val="p1"/>
        <w:spacing w:line="360" w:lineRule="auto"/>
        <w:rPr>
          <w:rFonts w:ascii="Times New Roman" w:hAnsi="Times New Roman"/>
          <w:sz w:val="22"/>
          <w:szCs w:val="22"/>
        </w:rPr>
      </w:pPr>
    </w:p>
    <w:p w14:paraId="57608703"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Altavilla, Carlo, Luca Brugnolini, Refet S Gürkaynak, Roberto Motto, and Giuseppe Ragusa (2019) “Measuring euro area monetary policy,” Journal of Monetary Economics, Vol. 108, pp. 162–179.</w:t>
      </w:r>
    </w:p>
    <w:p w14:paraId="2D2852D6" w14:textId="77777777" w:rsidR="00D04AAD" w:rsidRPr="0021032C" w:rsidRDefault="00D04AAD" w:rsidP="0021032C">
      <w:pPr>
        <w:pStyle w:val="p1"/>
        <w:spacing w:line="360" w:lineRule="auto"/>
        <w:rPr>
          <w:rFonts w:ascii="Times New Roman" w:hAnsi="Times New Roman"/>
          <w:sz w:val="22"/>
          <w:szCs w:val="22"/>
        </w:rPr>
      </w:pPr>
    </w:p>
    <w:p w14:paraId="7EFE9FEC"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Swanson, Eric T (2021) “Measuring the effects of federal reserve forward guidance and asset purchases on financial markets,” Journal of Monetary Economics, Vol. 118, pp. 32–53.</w:t>
      </w:r>
    </w:p>
    <w:p w14:paraId="39735595" w14:textId="77777777" w:rsidR="000E2397" w:rsidRPr="0021032C" w:rsidRDefault="000E2397" w:rsidP="0021032C">
      <w:pPr>
        <w:pStyle w:val="p1"/>
        <w:spacing w:line="360" w:lineRule="auto"/>
        <w:rPr>
          <w:rFonts w:ascii="Times New Roman" w:hAnsi="Times New Roman"/>
          <w:sz w:val="22"/>
          <w:szCs w:val="22"/>
        </w:rPr>
      </w:pPr>
    </w:p>
    <w:p w14:paraId="7D8D9588" w14:textId="77777777" w:rsidR="00D04AAD" w:rsidRPr="0021032C" w:rsidRDefault="00D04AAD" w:rsidP="0021032C">
      <w:pPr>
        <w:pStyle w:val="p1"/>
        <w:spacing w:line="360" w:lineRule="auto"/>
        <w:rPr>
          <w:rFonts w:ascii="Times New Roman" w:hAnsi="Times New Roman"/>
          <w:sz w:val="22"/>
          <w:szCs w:val="22"/>
        </w:rPr>
      </w:pPr>
    </w:p>
    <w:p w14:paraId="167CCA4A" w14:textId="77777777" w:rsidR="00C5446D" w:rsidRDefault="00C5446D" w:rsidP="0021032C">
      <w:pPr>
        <w:pStyle w:val="p1"/>
        <w:spacing w:line="360" w:lineRule="auto"/>
        <w:rPr>
          <w:rFonts w:ascii="Times New Roman" w:hAnsi="Times New Roman"/>
          <w:sz w:val="22"/>
          <w:szCs w:val="22"/>
        </w:rPr>
      </w:pPr>
    </w:p>
    <w:p w14:paraId="04A44431" w14:textId="01F7B238"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Miranda-Agrippino, Silvia (2016) “Unsurprising shocks: information, premia, and the monetary transmission,” Bank of England working papers 626, Bank of England.</w:t>
      </w:r>
    </w:p>
    <w:p w14:paraId="2CD8BE87" w14:textId="77777777" w:rsidR="00D04AAD" w:rsidRPr="0021032C" w:rsidRDefault="00D04AAD" w:rsidP="0021032C">
      <w:pPr>
        <w:pStyle w:val="p1"/>
        <w:spacing w:line="360" w:lineRule="auto"/>
        <w:rPr>
          <w:rFonts w:ascii="Times New Roman" w:hAnsi="Times New Roman"/>
          <w:sz w:val="22"/>
          <w:szCs w:val="22"/>
        </w:rPr>
      </w:pPr>
    </w:p>
    <w:p w14:paraId="121219C3"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Gerko, Elena and Hélène Rey (2017) “Monetary Policy in the Capitals of Capital,” Journal of the European Economic Association, Vol. 15, No. 4, pp. 721–745, 08.</w:t>
      </w:r>
    </w:p>
    <w:p w14:paraId="5B7303B6" w14:textId="77777777" w:rsidR="00D04AAD" w:rsidRPr="0021032C" w:rsidRDefault="00D04AAD" w:rsidP="0021032C">
      <w:pPr>
        <w:pStyle w:val="p1"/>
        <w:spacing w:line="360" w:lineRule="auto"/>
        <w:rPr>
          <w:rFonts w:ascii="Times New Roman" w:hAnsi="Times New Roman"/>
          <w:sz w:val="22"/>
          <w:szCs w:val="22"/>
        </w:rPr>
      </w:pPr>
    </w:p>
    <w:p w14:paraId="66624DF5" w14:textId="77777777" w:rsidR="00D04AAD" w:rsidRPr="0021032C" w:rsidRDefault="00D04AAD" w:rsidP="0021032C">
      <w:pPr>
        <w:pStyle w:val="p1"/>
        <w:spacing w:line="360" w:lineRule="auto"/>
        <w:rPr>
          <w:rFonts w:ascii="Times New Roman" w:hAnsi="Times New Roman"/>
          <w:sz w:val="22"/>
          <w:szCs w:val="22"/>
        </w:rPr>
      </w:pPr>
      <w:proofErr w:type="spellStart"/>
      <w:r w:rsidRPr="0021032C">
        <w:rPr>
          <w:rFonts w:ascii="Times New Roman" w:hAnsi="Times New Roman"/>
          <w:sz w:val="22"/>
          <w:szCs w:val="22"/>
        </w:rPr>
        <w:t>Cesa</w:t>
      </w:r>
      <w:proofErr w:type="spellEnd"/>
      <w:r w:rsidRPr="0021032C">
        <w:rPr>
          <w:rFonts w:ascii="Times New Roman" w:hAnsi="Times New Roman"/>
          <w:sz w:val="22"/>
          <w:szCs w:val="22"/>
        </w:rPr>
        <w:t>-Bianchi, Ambrogio, Gregory Thwaites, and Alejandro Vicondoa (2020) “Monetary policy transmission in the United Kingdom: A high frequency identification approach,” European Economic Review, Vol. 123, No. C.</w:t>
      </w:r>
    </w:p>
    <w:p w14:paraId="5B3CE5AA" w14:textId="77777777" w:rsidR="00D04AAD" w:rsidRPr="0021032C" w:rsidRDefault="00D04AAD" w:rsidP="0021032C">
      <w:pPr>
        <w:pStyle w:val="p1"/>
        <w:spacing w:line="360" w:lineRule="auto"/>
        <w:rPr>
          <w:rFonts w:ascii="Times New Roman" w:hAnsi="Times New Roman"/>
          <w:sz w:val="22"/>
          <w:szCs w:val="22"/>
        </w:rPr>
      </w:pPr>
    </w:p>
    <w:p w14:paraId="4A4389C4" w14:textId="77777777" w:rsidR="00D04AAD" w:rsidRPr="0021032C" w:rsidRDefault="00D04AAD" w:rsidP="0021032C">
      <w:pPr>
        <w:pStyle w:val="p1"/>
        <w:spacing w:line="360" w:lineRule="auto"/>
        <w:rPr>
          <w:rFonts w:ascii="Times New Roman" w:hAnsi="Times New Roman"/>
          <w:sz w:val="22"/>
          <w:szCs w:val="22"/>
        </w:rPr>
      </w:pPr>
    </w:p>
    <w:p w14:paraId="1C090A55"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whether the effect of policy news depends on the degree of dissent amongst Committee members</w:t>
      </w:r>
    </w:p>
    <w:p w14:paraId="21DE2876"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Gerlach-Kristen, Petra (2004) “Is the MPC’s Voting Record Informative about Future UK Monetary Policy?,” Scandinavian Journal of Economics, Vol. 106, No. 2, pp. 299–313, June.</w:t>
      </w:r>
    </w:p>
    <w:p w14:paraId="62C2F894" w14:textId="77777777" w:rsidR="00D04AAD" w:rsidRPr="0021032C" w:rsidRDefault="00D04AAD" w:rsidP="0021032C">
      <w:pPr>
        <w:pStyle w:val="p1"/>
        <w:spacing w:line="360" w:lineRule="auto"/>
        <w:rPr>
          <w:rFonts w:ascii="Times New Roman" w:hAnsi="Times New Roman"/>
          <w:sz w:val="22"/>
          <w:szCs w:val="22"/>
        </w:rPr>
      </w:pPr>
    </w:p>
    <w:p w14:paraId="6CC72B11" w14:textId="77777777" w:rsidR="00D04AAD" w:rsidRDefault="00D04AAD" w:rsidP="00184D25">
      <w:pPr>
        <w:pStyle w:val="p1"/>
        <w:spacing w:line="360" w:lineRule="auto"/>
        <w:rPr>
          <w:rFonts w:ascii="Times New Roman" w:hAnsi="Times New Roman"/>
          <w:sz w:val="22"/>
          <w:szCs w:val="22"/>
        </w:rPr>
      </w:pPr>
      <w:r w:rsidRPr="0021032C">
        <w:rPr>
          <w:rFonts w:ascii="Times New Roman" w:hAnsi="Times New Roman"/>
          <w:sz w:val="22"/>
          <w:szCs w:val="22"/>
        </w:rPr>
        <w:t>Riboni, Alessandro and Francisco Ruge-Murcia (2014) “Dissent in monetary policy decisions,” Journal of Monetary Economics, Vol. 66, pp. 137–154.</w:t>
      </w:r>
    </w:p>
    <w:p w14:paraId="3FFCEC59" w14:textId="77777777" w:rsidR="000E2397" w:rsidRDefault="000E2397" w:rsidP="00184D25">
      <w:pPr>
        <w:pStyle w:val="p1"/>
        <w:spacing w:line="360" w:lineRule="auto"/>
        <w:rPr>
          <w:rFonts w:ascii="Times New Roman" w:hAnsi="Times New Roman"/>
          <w:sz w:val="22"/>
          <w:szCs w:val="22"/>
        </w:rPr>
      </w:pPr>
    </w:p>
    <w:p w14:paraId="53700036" w14:textId="77777777" w:rsidR="000E2397" w:rsidRPr="000E2397" w:rsidRDefault="000E2397" w:rsidP="00184D25">
      <w:pPr>
        <w:pStyle w:val="p1"/>
        <w:spacing w:line="360" w:lineRule="auto"/>
        <w:rPr>
          <w:rFonts w:ascii="Times New Roman" w:hAnsi="Times New Roman"/>
          <w:sz w:val="22"/>
          <w:szCs w:val="22"/>
        </w:rPr>
      </w:pPr>
      <w:r w:rsidRPr="000E2397">
        <w:rPr>
          <w:rFonts w:ascii="Times New Roman" w:hAnsi="Times New Roman"/>
          <w:sz w:val="22"/>
          <w:szCs w:val="22"/>
        </w:rPr>
        <w:t>Miranda-Agrippino, Silvia and Tsvetelina Nenova (2022) “A tale of two global monetary policies,” Journal of International Economics, Vol. 136, p. 103606.</w:t>
      </w:r>
    </w:p>
    <w:p w14:paraId="6CA6BB65" w14:textId="77777777" w:rsidR="000E2397" w:rsidRPr="0021032C" w:rsidRDefault="000E2397" w:rsidP="00184D25">
      <w:pPr>
        <w:pStyle w:val="p1"/>
        <w:spacing w:line="360" w:lineRule="auto"/>
        <w:rPr>
          <w:rFonts w:ascii="Times New Roman" w:hAnsi="Times New Roman"/>
          <w:sz w:val="22"/>
          <w:szCs w:val="22"/>
        </w:rPr>
      </w:pPr>
    </w:p>
    <w:p w14:paraId="2FCC1B32" w14:textId="77777777" w:rsidR="00D04AAD" w:rsidRPr="0021032C" w:rsidRDefault="00D04AAD" w:rsidP="0021032C">
      <w:pPr>
        <w:pStyle w:val="p1"/>
        <w:spacing w:line="360" w:lineRule="auto"/>
        <w:rPr>
          <w:rFonts w:ascii="Times New Roman" w:hAnsi="Times New Roman"/>
          <w:sz w:val="22"/>
          <w:szCs w:val="22"/>
        </w:rPr>
      </w:pPr>
    </w:p>
    <w:p w14:paraId="443C15EB" w14:textId="77777777" w:rsidR="00D04AAD" w:rsidRPr="0021032C" w:rsidRDefault="00D04AAD" w:rsidP="0021032C">
      <w:pPr>
        <w:pStyle w:val="p1"/>
        <w:spacing w:line="360" w:lineRule="auto"/>
        <w:rPr>
          <w:rFonts w:ascii="Times New Roman" w:hAnsi="Times New Roman"/>
          <w:sz w:val="22"/>
          <w:szCs w:val="22"/>
        </w:rPr>
      </w:pPr>
    </w:p>
    <w:p w14:paraId="5021C085" w14:textId="77777777" w:rsidR="00D04AAD" w:rsidRPr="0021032C" w:rsidRDefault="00D04AAD" w:rsidP="0021032C">
      <w:pPr>
        <w:pStyle w:val="p1"/>
        <w:spacing w:line="360" w:lineRule="auto"/>
        <w:rPr>
          <w:rFonts w:ascii="Times New Roman" w:hAnsi="Times New Roman"/>
          <w:sz w:val="22"/>
          <w:szCs w:val="22"/>
        </w:rPr>
      </w:pPr>
      <w:hyperlink r:id="rId19" w:history="1">
        <w:r w:rsidRPr="0021032C">
          <w:rPr>
            <w:rStyle w:val="Hyperlink"/>
            <w:rFonts w:ascii="Times New Roman" w:hAnsi="Times New Roman"/>
            <w:sz w:val="22"/>
            <w:szCs w:val="22"/>
          </w:rPr>
          <w:t>https://www.bankofengland.co.uk/inflation-report/1997/august-1997</w:t>
        </w:r>
      </w:hyperlink>
    </w:p>
    <w:p w14:paraId="499B4C17" w14:textId="77777777" w:rsidR="00D04AAD" w:rsidRPr="0021032C" w:rsidRDefault="00D04AAD" w:rsidP="0021032C">
      <w:pPr>
        <w:autoSpaceDE w:val="0"/>
        <w:autoSpaceDN w:val="0"/>
        <w:adjustRightInd w:val="0"/>
        <w:spacing w:after="0" w:line="360" w:lineRule="auto"/>
        <w:rPr>
          <w:rFonts w:ascii="Times New Roman" w:hAnsi="Times New Roman" w:cs="Times New Roman"/>
          <w:kern w:val="0"/>
          <w:sz w:val="22"/>
          <w:szCs w:val="22"/>
        </w:rPr>
      </w:pPr>
    </w:p>
    <w:p w14:paraId="7D6D16FD" w14:textId="7C80F876" w:rsidR="00DE0A23" w:rsidRDefault="00DE0A23" w:rsidP="0021032C">
      <w:pPr>
        <w:autoSpaceDE w:val="0"/>
        <w:autoSpaceDN w:val="0"/>
        <w:adjustRightInd w:val="0"/>
        <w:spacing w:after="0" w:line="360" w:lineRule="auto"/>
      </w:pPr>
      <w:hyperlink r:id="rId20" w:history="1">
        <w:r w:rsidRPr="0021032C">
          <w:rPr>
            <w:rStyle w:val="Hyperlink"/>
            <w:rFonts w:ascii="Times New Roman" w:hAnsi="Times New Roman" w:cs="Times New Roman"/>
            <w:kern w:val="0"/>
            <w:sz w:val="22"/>
            <w:szCs w:val="22"/>
          </w:rPr>
          <w:t>https://www.lseg.com/en/data-analytics/market-data/data-feeds/tick-history</w:t>
        </w:r>
      </w:hyperlink>
    </w:p>
    <w:p w14:paraId="782DE08D" w14:textId="77777777" w:rsidR="00AC50B4" w:rsidRDefault="00AC50B4" w:rsidP="0021032C">
      <w:pPr>
        <w:autoSpaceDE w:val="0"/>
        <w:autoSpaceDN w:val="0"/>
        <w:adjustRightInd w:val="0"/>
        <w:spacing w:after="0" w:line="360" w:lineRule="auto"/>
      </w:pPr>
    </w:p>
    <w:p w14:paraId="5EEE2573" w14:textId="1363D86A" w:rsidR="00AC50B4" w:rsidRDefault="00AC50B4" w:rsidP="0021032C">
      <w:pPr>
        <w:autoSpaceDE w:val="0"/>
        <w:autoSpaceDN w:val="0"/>
        <w:adjustRightInd w:val="0"/>
        <w:spacing w:after="0" w:line="360" w:lineRule="auto"/>
        <w:rPr>
          <w:rFonts w:ascii="Times New Roman" w:hAnsi="Times New Roman" w:cs="Times New Roman"/>
          <w:kern w:val="0"/>
          <w:sz w:val="22"/>
          <w:szCs w:val="22"/>
        </w:rPr>
      </w:pPr>
      <w:hyperlink r:id="rId21" w:history="1">
        <w:r w:rsidRPr="002210E3">
          <w:rPr>
            <w:rStyle w:val="Hyperlink"/>
            <w:rFonts w:ascii="Times New Roman" w:hAnsi="Times New Roman" w:cs="Times New Roman"/>
            <w:kern w:val="0"/>
            <w:sz w:val="22"/>
            <w:szCs w:val="22"/>
          </w:rPr>
          <w:t>https://www.bankofengland.co.uk/monetary-policy-summary-and-minutes/2016/mpc-august-2016</w:t>
        </w:r>
      </w:hyperlink>
    </w:p>
    <w:p w14:paraId="6CC1C125" w14:textId="7C7604D2" w:rsidR="00AC50B4" w:rsidRDefault="003075AB" w:rsidP="0021032C">
      <w:pPr>
        <w:autoSpaceDE w:val="0"/>
        <w:autoSpaceDN w:val="0"/>
        <w:adjustRightInd w:val="0"/>
        <w:spacing w:after="0" w:line="360" w:lineRule="auto"/>
        <w:rPr>
          <w:rFonts w:ascii="Times New Roman" w:hAnsi="Times New Roman" w:cs="Times New Roman"/>
          <w:kern w:val="0"/>
          <w:sz w:val="22"/>
          <w:szCs w:val="22"/>
        </w:rPr>
      </w:pPr>
      <w:hyperlink r:id="rId22" w:history="1">
        <w:r w:rsidRPr="002210E3">
          <w:rPr>
            <w:rStyle w:val="Hyperlink"/>
            <w:rFonts w:ascii="Times New Roman" w:hAnsi="Times New Roman" w:cs="Times New Roman"/>
            <w:kern w:val="0"/>
            <w:sz w:val="22"/>
            <w:szCs w:val="22"/>
          </w:rPr>
          <w:t>https://www.bankofengland.co.uk/monetary-policy-summary-and-minutes/2019/november-2019</w:t>
        </w:r>
      </w:hyperlink>
    </w:p>
    <w:p w14:paraId="335FD0BA" w14:textId="7AD049DB" w:rsidR="003075AB" w:rsidRDefault="003075AB" w:rsidP="0021032C">
      <w:pPr>
        <w:autoSpaceDE w:val="0"/>
        <w:autoSpaceDN w:val="0"/>
        <w:adjustRightInd w:val="0"/>
        <w:spacing w:after="0" w:line="360" w:lineRule="auto"/>
        <w:rPr>
          <w:rFonts w:ascii="Times New Roman" w:hAnsi="Times New Roman" w:cs="Times New Roman"/>
          <w:kern w:val="0"/>
          <w:sz w:val="22"/>
          <w:szCs w:val="22"/>
        </w:rPr>
      </w:pPr>
      <w:hyperlink r:id="rId23" w:history="1">
        <w:r w:rsidRPr="002210E3">
          <w:rPr>
            <w:rStyle w:val="Hyperlink"/>
            <w:rFonts w:ascii="Times New Roman" w:hAnsi="Times New Roman" w:cs="Times New Roman"/>
            <w:kern w:val="0"/>
            <w:sz w:val="22"/>
            <w:szCs w:val="22"/>
          </w:rPr>
          <w:t>https://www.bankofengland.co.uk/monetary-policy-summary-and-minutes/2020/january-2020</w:t>
        </w:r>
      </w:hyperlink>
    </w:p>
    <w:p w14:paraId="56ACDABF" w14:textId="77777777" w:rsidR="003075AB" w:rsidRPr="0021032C" w:rsidRDefault="003075AB" w:rsidP="0021032C">
      <w:pPr>
        <w:autoSpaceDE w:val="0"/>
        <w:autoSpaceDN w:val="0"/>
        <w:adjustRightInd w:val="0"/>
        <w:spacing w:after="0" w:line="360" w:lineRule="auto"/>
        <w:rPr>
          <w:rFonts w:ascii="Times New Roman" w:hAnsi="Times New Roman" w:cs="Times New Roman"/>
          <w:kern w:val="0"/>
          <w:sz w:val="22"/>
          <w:szCs w:val="22"/>
        </w:rPr>
      </w:pPr>
    </w:p>
    <w:p w14:paraId="3E7B9396" w14:textId="2CC1C736" w:rsidR="0095589C" w:rsidRPr="0021032C" w:rsidRDefault="0095589C" w:rsidP="0021032C">
      <w:pPr>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br w:type="page"/>
      </w:r>
    </w:p>
    <w:p w14:paraId="2FB98A4D" w14:textId="77777777" w:rsidR="0095589C" w:rsidRPr="0021032C" w:rsidRDefault="0095589C" w:rsidP="0021032C">
      <w:pPr>
        <w:autoSpaceDE w:val="0"/>
        <w:autoSpaceDN w:val="0"/>
        <w:adjustRightInd w:val="0"/>
        <w:spacing w:after="0" w:line="360" w:lineRule="auto"/>
        <w:rPr>
          <w:rFonts w:ascii="Times New Roman" w:hAnsi="Times New Roman" w:cs="Times New Roman"/>
          <w:sz w:val="22"/>
          <w:szCs w:val="22"/>
        </w:rPr>
      </w:pPr>
      <w:r w:rsidRPr="0021032C">
        <w:rPr>
          <w:rFonts w:ascii="Times New Roman" w:hAnsi="Times New Roman" w:cs="Times New Roman"/>
          <w:kern w:val="0"/>
          <w:sz w:val="22"/>
          <w:szCs w:val="22"/>
        </w:rPr>
        <w:lastRenderedPageBreak/>
        <w:t>Next steps:</w:t>
      </w:r>
    </w:p>
    <w:p w14:paraId="24FD1F3F" w14:textId="77777777" w:rsidR="0095589C" w:rsidRPr="0021032C" w:rsidRDefault="0095589C" w:rsidP="0021032C">
      <w:pPr>
        <w:pStyle w:val="ListParagraph"/>
        <w:numPr>
          <w:ilvl w:val="0"/>
          <w:numId w:val="13"/>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sz w:val="22"/>
          <w:szCs w:val="22"/>
        </w:rPr>
        <w:t>Run baseline LP (linear)</w:t>
      </w:r>
    </w:p>
    <w:p w14:paraId="1DA48616" w14:textId="77777777" w:rsidR="0095589C" w:rsidRPr="0021032C" w:rsidRDefault="0095589C" w:rsidP="0021032C">
      <w:pPr>
        <w:pStyle w:val="ListParagraph"/>
        <w:numPr>
          <w:ilvl w:val="0"/>
          <w:numId w:val="13"/>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sz w:val="22"/>
          <w:szCs w:val="22"/>
        </w:rPr>
        <w:t>Then split into tightening vs easing</w:t>
      </w:r>
    </w:p>
    <w:p w14:paraId="21041CFD" w14:textId="77777777" w:rsidR="00DE0A23" w:rsidRPr="0021032C" w:rsidRDefault="00DE0A23" w:rsidP="0021032C">
      <w:pPr>
        <w:autoSpaceDE w:val="0"/>
        <w:autoSpaceDN w:val="0"/>
        <w:adjustRightInd w:val="0"/>
        <w:spacing w:after="0" w:line="360" w:lineRule="auto"/>
        <w:rPr>
          <w:rFonts w:ascii="Times New Roman" w:hAnsi="Times New Roman" w:cs="Times New Roman"/>
          <w:kern w:val="0"/>
          <w:sz w:val="22"/>
          <w:szCs w:val="22"/>
        </w:rPr>
      </w:pPr>
    </w:p>
    <w:sectPr w:rsidR="00DE0A23" w:rsidRPr="0021032C" w:rsidSect="00B806DD">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pitch w:val="default"/>
    <w:sig w:usb0="00000003" w:usb1="00000000" w:usb2="00000000" w:usb3="00000000" w:csb0="00000001" w:csb1="00000000"/>
  </w:font>
  <w:font w:name="-webkit-standard">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B47B51"/>
    <w:multiLevelType w:val="hybridMultilevel"/>
    <w:tmpl w:val="9536A552"/>
    <w:lvl w:ilvl="0" w:tplc="3E9EC5D8">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6B5DA5"/>
    <w:multiLevelType w:val="multilevel"/>
    <w:tmpl w:val="B79C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239A8"/>
    <w:multiLevelType w:val="hybridMultilevel"/>
    <w:tmpl w:val="5AF4D914"/>
    <w:lvl w:ilvl="0" w:tplc="8ECA782A">
      <w:start w:val="30"/>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E30A35"/>
    <w:multiLevelType w:val="multilevel"/>
    <w:tmpl w:val="9BE05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0F4157"/>
    <w:multiLevelType w:val="multilevel"/>
    <w:tmpl w:val="C1CE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140523"/>
    <w:multiLevelType w:val="multilevel"/>
    <w:tmpl w:val="A330D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76F60"/>
    <w:multiLevelType w:val="multilevel"/>
    <w:tmpl w:val="1926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0282A"/>
    <w:multiLevelType w:val="hybridMultilevel"/>
    <w:tmpl w:val="9BE081B0"/>
    <w:lvl w:ilvl="0" w:tplc="A3AA4474">
      <w:start w:val="3"/>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0A09DD"/>
    <w:multiLevelType w:val="multilevel"/>
    <w:tmpl w:val="4A0E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20523A"/>
    <w:multiLevelType w:val="hybridMultilevel"/>
    <w:tmpl w:val="0A5E27D2"/>
    <w:lvl w:ilvl="0" w:tplc="79DA1850">
      <w:start w:val="3"/>
      <w:numFmt w:val="bullet"/>
      <w:lvlText w:val="-"/>
      <w:lvlJc w:val="left"/>
      <w:pPr>
        <w:ind w:left="720" w:hanging="360"/>
      </w:pPr>
      <w:rPr>
        <w:rFonts w:ascii="AppleSystemUIFont" w:eastAsiaTheme="minorHAnsi" w:hAnsi="AppleSystemUIFont" w:cs="AppleSystemUIFon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7292F2F"/>
    <w:multiLevelType w:val="hybridMultilevel"/>
    <w:tmpl w:val="EAA07AFA"/>
    <w:lvl w:ilvl="0" w:tplc="CB6686C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2887976"/>
    <w:multiLevelType w:val="multilevel"/>
    <w:tmpl w:val="ED64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B725B6"/>
    <w:multiLevelType w:val="multilevel"/>
    <w:tmpl w:val="F4D0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CB7329"/>
    <w:multiLevelType w:val="hybridMultilevel"/>
    <w:tmpl w:val="C9100F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C1F34D9"/>
    <w:multiLevelType w:val="multilevel"/>
    <w:tmpl w:val="6972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E14144"/>
    <w:multiLevelType w:val="multilevel"/>
    <w:tmpl w:val="1DE0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BF1278"/>
    <w:multiLevelType w:val="hybridMultilevel"/>
    <w:tmpl w:val="CF5A5A16"/>
    <w:lvl w:ilvl="0" w:tplc="6130E222">
      <w:start w:val="1050"/>
      <w:numFmt w:val="bullet"/>
      <w:lvlText w:val="-"/>
      <w:lvlJc w:val="left"/>
      <w:pPr>
        <w:ind w:left="720" w:hanging="360"/>
      </w:pPr>
      <w:rPr>
        <w:rFonts w:ascii="-webkit-standard" w:eastAsiaTheme="minorHAnsi" w:hAnsi="-webkit-standard" w:cstheme="minorBidi" w:hint="default"/>
        <w:color w:val="000000"/>
        <w:sz w:val="27"/>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2FE52F2"/>
    <w:multiLevelType w:val="hybridMultilevel"/>
    <w:tmpl w:val="3FA4F956"/>
    <w:lvl w:ilvl="0" w:tplc="57E41C26">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6829384">
    <w:abstractNumId w:val="0"/>
  </w:num>
  <w:num w:numId="2" w16cid:durableId="20204321">
    <w:abstractNumId w:val="1"/>
  </w:num>
  <w:num w:numId="3" w16cid:durableId="236870006">
    <w:abstractNumId w:val="11"/>
  </w:num>
  <w:num w:numId="4" w16cid:durableId="1800955875">
    <w:abstractNumId w:val="19"/>
  </w:num>
  <w:num w:numId="5" w16cid:durableId="1931811932">
    <w:abstractNumId w:val="2"/>
  </w:num>
  <w:num w:numId="6" w16cid:durableId="730035056">
    <w:abstractNumId w:val="12"/>
  </w:num>
  <w:num w:numId="7" w16cid:durableId="1854108460">
    <w:abstractNumId w:val="3"/>
  </w:num>
  <w:num w:numId="8" w16cid:durableId="1078595848">
    <w:abstractNumId w:val="14"/>
  </w:num>
  <w:num w:numId="9" w16cid:durableId="376053578">
    <w:abstractNumId w:val="16"/>
  </w:num>
  <w:num w:numId="10" w16cid:durableId="711345486">
    <w:abstractNumId w:val="6"/>
  </w:num>
  <w:num w:numId="11" w16cid:durableId="1696807192">
    <w:abstractNumId w:val="5"/>
  </w:num>
  <w:num w:numId="12" w16cid:durableId="642318950">
    <w:abstractNumId w:val="18"/>
  </w:num>
  <w:num w:numId="13" w16cid:durableId="1514563679">
    <w:abstractNumId w:val="15"/>
  </w:num>
  <w:num w:numId="14" w16cid:durableId="265817463">
    <w:abstractNumId w:val="4"/>
  </w:num>
  <w:num w:numId="15" w16cid:durableId="1684161208">
    <w:abstractNumId w:val="8"/>
  </w:num>
  <w:num w:numId="16" w16cid:durableId="1159804307">
    <w:abstractNumId w:val="13"/>
  </w:num>
  <w:num w:numId="17" w16cid:durableId="1933858184">
    <w:abstractNumId w:val="10"/>
  </w:num>
  <w:num w:numId="18" w16cid:durableId="311300440">
    <w:abstractNumId w:val="17"/>
  </w:num>
  <w:num w:numId="19" w16cid:durableId="1424687782">
    <w:abstractNumId w:val="7"/>
  </w:num>
  <w:num w:numId="20" w16cid:durableId="5972541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6DD"/>
    <w:rsid w:val="000069DB"/>
    <w:rsid w:val="00031FC9"/>
    <w:rsid w:val="000576F0"/>
    <w:rsid w:val="000972D9"/>
    <w:rsid w:val="000A2199"/>
    <w:rsid w:val="000A55C3"/>
    <w:rsid w:val="000E2397"/>
    <w:rsid w:val="000F0886"/>
    <w:rsid w:val="00115F7F"/>
    <w:rsid w:val="00116FA0"/>
    <w:rsid w:val="00131D3F"/>
    <w:rsid w:val="001616A0"/>
    <w:rsid w:val="00161E5D"/>
    <w:rsid w:val="00184D25"/>
    <w:rsid w:val="0021032C"/>
    <w:rsid w:val="002159F0"/>
    <w:rsid w:val="00263EC0"/>
    <w:rsid w:val="002642C0"/>
    <w:rsid w:val="00270CB4"/>
    <w:rsid w:val="00274D9D"/>
    <w:rsid w:val="00281DA1"/>
    <w:rsid w:val="002A20D3"/>
    <w:rsid w:val="002D64DD"/>
    <w:rsid w:val="002D7670"/>
    <w:rsid w:val="00305C4B"/>
    <w:rsid w:val="003075AB"/>
    <w:rsid w:val="003143C5"/>
    <w:rsid w:val="0031773D"/>
    <w:rsid w:val="00353BC5"/>
    <w:rsid w:val="00361985"/>
    <w:rsid w:val="00397AC1"/>
    <w:rsid w:val="003A45C0"/>
    <w:rsid w:val="003F7611"/>
    <w:rsid w:val="00476B7E"/>
    <w:rsid w:val="004B310A"/>
    <w:rsid w:val="004F1711"/>
    <w:rsid w:val="00502B3C"/>
    <w:rsid w:val="005D7DCC"/>
    <w:rsid w:val="005F3FF6"/>
    <w:rsid w:val="00654BF6"/>
    <w:rsid w:val="006618B4"/>
    <w:rsid w:val="006E63E3"/>
    <w:rsid w:val="006F2CEF"/>
    <w:rsid w:val="006F6E22"/>
    <w:rsid w:val="00700F73"/>
    <w:rsid w:val="00702C6B"/>
    <w:rsid w:val="007576AA"/>
    <w:rsid w:val="00766570"/>
    <w:rsid w:val="007C1869"/>
    <w:rsid w:val="007E742D"/>
    <w:rsid w:val="00834104"/>
    <w:rsid w:val="008478C0"/>
    <w:rsid w:val="00864936"/>
    <w:rsid w:val="008A3710"/>
    <w:rsid w:val="008A676F"/>
    <w:rsid w:val="008D17BD"/>
    <w:rsid w:val="008E5E04"/>
    <w:rsid w:val="0095589C"/>
    <w:rsid w:val="00972F1A"/>
    <w:rsid w:val="009C2D3D"/>
    <w:rsid w:val="009C58EA"/>
    <w:rsid w:val="009D50A5"/>
    <w:rsid w:val="009F16C9"/>
    <w:rsid w:val="00A070DF"/>
    <w:rsid w:val="00A10439"/>
    <w:rsid w:val="00A14A43"/>
    <w:rsid w:val="00A329FA"/>
    <w:rsid w:val="00A813E0"/>
    <w:rsid w:val="00A82E99"/>
    <w:rsid w:val="00A96280"/>
    <w:rsid w:val="00AC50B4"/>
    <w:rsid w:val="00B73492"/>
    <w:rsid w:val="00B806DD"/>
    <w:rsid w:val="00B96506"/>
    <w:rsid w:val="00C33970"/>
    <w:rsid w:val="00C5446D"/>
    <w:rsid w:val="00CA6B83"/>
    <w:rsid w:val="00D04AAD"/>
    <w:rsid w:val="00D04BB9"/>
    <w:rsid w:val="00D063DA"/>
    <w:rsid w:val="00D208BF"/>
    <w:rsid w:val="00D36C6C"/>
    <w:rsid w:val="00D409D3"/>
    <w:rsid w:val="00D633AB"/>
    <w:rsid w:val="00D75DF2"/>
    <w:rsid w:val="00D84FD7"/>
    <w:rsid w:val="00D92C47"/>
    <w:rsid w:val="00DE0A23"/>
    <w:rsid w:val="00E65439"/>
    <w:rsid w:val="00E7256C"/>
    <w:rsid w:val="00E82FC7"/>
    <w:rsid w:val="00E9624E"/>
    <w:rsid w:val="00EE30B7"/>
    <w:rsid w:val="00F31FDC"/>
    <w:rsid w:val="00F349DF"/>
    <w:rsid w:val="00F47DB0"/>
    <w:rsid w:val="00F872BD"/>
    <w:rsid w:val="00FF00AC"/>
    <w:rsid w:val="00FF70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BD96508"/>
  <w15:chartTrackingRefBased/>
  <w15:docId w15:val="{419D685B-1406-A449-BD1C-0D495E5CF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0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0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06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06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6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6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6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6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6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6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06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06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06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6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6DD"/>
    <w:rPr>
      <w:rFonts w:eastAsiaTheme="majorEastAsia" w:cstheme="majorBidi"/>
      <w:color w:val="272727" w:themeColor="text1" w:themeTint="D8"/>
    </w:rPr>
  </w:style>
  <w:style w:type="paragraph" w:styleId="Title">
    <w:name w:val="Title"/>
    <w:basedOn w:val="Normal"/>
    <w:next w:val="Normal"/>
    <w:link w:val="TitleChar"/>
    <w:uiPriority w:val="10"/>
    <w:qFormat/>
    <w:rsid w:val="00B80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6DD"/>
    <w:pPr>
      <w:spacing w:before="160"/>
      <w:jc w:val="center"/>
    </w:pPr>
    <w:rPr>
      <w:i/>
      <w:iCs/>
      <w:color w:val="404040" w:themeColor="text1" w:themeTint="BF"/>
    </w:rPr>
  </w:style>
  <w:style w:type="character" w:customStyle="1" w:styleId="QuoteChar">
    <w:name w:val="Quote Char"/>
    <w:basedOn w:val="DefaultParagraphFont"/>
    <w:link w:val="Quote"/>
    <w:uiPriority w:val="29"/>
    <w:rsid w:val="00B806DD"/>
    <w:rPr>
      <w:i/>
      <w:iCs/>
      <w:color w:val="404040" w:themeColor="text1" w:themeTint="BF"/>
    </w:rPr>
  </w:style>
  <w:style w:type="paragraph" w:styleId="ListParagraph">
    <w:name w:val="List Paragraph"/>
    <w:basedOn w:val="Normal"/>
    <w:uiPriority w:val="34"/>
    <w:qFormat/>
    <w:rsid w:val="00B806DD"/>
    <w:pPr>
      <w:ind w:left="720"/>
      <w:contextualSpacing/>
    </w:pPr>
  </w:style>
  <w:style w:type="character" w:styleId="IntenseEmphasis">
    <w:name w:val="Intense Emphasis"/>
    <w:basedOn w:val="DefaultParagraphFont"/>
    <w:uiPriority w:val="21"/>
    <w:qFormat/>
    <w:rsid w:val="00B806DD"/>
    <w:rPr>
      <w:i/>
      <w:iCs/>
      <w:color w:val="0F4761" w:themeColor="accent1" w:themeShade="BF"/>
    </w:rPr>
  </w:style>
  <w:style w:type="paragraph" w:styleId="IntenseQuote">
    <w:name w:val="Intense Quote"/>
    <w:basedOn w:val="Normal"/>
    <w:next w:val="Normal"/>
    <w:link w:val="IntenseQuoteChar"/>
    <w:uiPriority w:val="30"/>
    <w:qFormat/>
    <w:rsid w:val="00B80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6DD"/>
    <w:rPr>
      <w:i/>
      <w:iCs/>
      <w:color w:val="0F4761" w:themeColor="accent1" w:themeShade="BF"/>
    </w:rPr>
  </w:style>
  <w:style w:type="character" w:styleId="IntenseReference">
    <w:name w:val="Intense Reference"/>
    <w:basedOn w:val="DefaultParagraphFont"/>
    <w:uiPriority w:val="32"/>
    <w:qFormat/>
    <w:rsid w:val="00B806DD"/>
    <w:rPr>
      <w:b/>
      <w:bCs/>
      <w:smallCaps/>
      <w:color w:val="0F4761" w:themeColor="accent1" w:themeShade="BF"/>
      <w:spacing w:val="5"/>
    </w:rPr>
  </w:style>
  <w:style w:type="paragraph" w:customStyle="1" w:styleId="p1">
    <w:name w:val="p1"/>
    <w:basedOn w:val="Normal"/>
    <w:rsid w:val="00F31FDC"/>
    <w:pPr>
      <w:spacing w:after="0" w:line="240" w:lineRule="auto"/>
    </w:pPr>
    <w:rPr>
      <w:rFonts w:ascii="Helvetica" w:eastAsia="Times New Roman" w:hAnsi="Helvetica" w:cs="Times New Roman"/>
      <w:color w:val="000000"/>
      <w:kern w:val="0"/>
      <w:sz w:val="18"/>
      <w:szCs w:val="18"/>
      <w:lang w:eastAsia="en-GB"/>
      <w14:ligatures w14:val="none"/>
    </w:rPr>
  </w:style>
  <w:style w:type="paragraph" w:styleId="NormalWeb">
    <w:name w:val="Normal (Web)"/>
    <w:basedOn w:val="Normal"/>
    <w:uiPriority w:val="99"/>
    <w:semiHidden/>
    <w:unhideWhenUsed/>
    <w:rsid w:val="001616A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mord">
    <w:name w:val="mord"/>
    <w:basedOn w:val="DefaultParagraphFont"/>
    <w:rsid w:val="00D36C6C"/>
  </w:style>
  <w:style w:type="character" w:customStyle="1" w:styleId="vlist-s">
    <w:name w:val="vlist-s"/>
    <w:basedOn w:val="DefaultParagraphFont"/>
    <w:rsid w:val="00D36C6C"/>
  </w:style>
  <w:style w:type="character" w:customStyle="1" w:styleId="mrel">
    <w:name w:val="mrel"/>
    <w:basedOn w:val="DefaultParagraphFont"/>
    <w:rsid w:val="00D36C6C"/>
  </w:style>
  <w:style w:type="character" w:styleId="PlaceholderText">
    <w:name w:val="Placeholder Text"/>
    <w:basedOn w:val="DefaultParagraphFont"/>
    <w:uiPriority w:val="99"/>
    <w:semiHidden/>
    <w:rsid w:val="00D36C6C"/>
    <w:rPr>
      <w:color w:val="666666"/>
    </w:rPr>
  </w:style>
  <w:style w:type="character" w:customStyle="1" w:styleId="apple-converted-space">
    <w:name w:val="apple-converted-space"/>
    <w:basedOn w:val="DefaultParagraphFont"/>
    <w:rsid w:val="00D36C6C"/>
  </w:style>
  <w:style w:type="character" w:styleId="Emphasis">
    <w:name w:val="Emphasis"/>
    <w:basedOn w:val="DefaultParagraphFont"/>
    <w:uiPriority w:val="20"/>
    <w:qFormat/>
    <w:rsid w:val="00D36C6C"/>
    <w:rPr>
      <w:i/>
      <w:iCs/>
    </w:rPr>
  </w:style>
  <w:style w:type="character" w:customStyle="1" w:styleId="s1">
    <w:name w:val="s1"/>
    <w:basedOn w:val="DefaultParagraphFont"/>
    <w:rsid w:val="00B73492"/>
    <w:rPr>
      <w:color w:val="0000FF"/>
    </w:rPr>
  </w:style>
  <w:style w:type="character" w:styleId="Hyperlink">
    <w:name w:val="Hyperlink"/>
    <w:basedOn w:val="DefaultParagraphFont"/>
    <w:uiPriority w:val="99"/>
    <w:unhideWhenUsed/>
    <w:rsid w:val="002A20D3"/>
    <w:rPr>
      <w:color w:val="467886" w:themeColor="hyperlink"/>
      <w:u w:val="single"/>
    </w:rPr>
  </w:style>
  <w:style w:type="character" w:styleId="UnresolvedMention">
    <w:name w:val="Unresolved Mention"/>
    <w:basedOn w:val="DefaultParagraphFont"/>
    <w:uiPriority w:val="99"/>
    <w:semiHidden/>
    <w:unhideWhenUsed/>
    <w:rsid w:val="002A20D3"/>
    <w:rPr>
      <w:color w:val="605E5C"/>
      <w:shd w:val="clear" w:color="auto" w:fill="E1DFDD"/>
    </w:rPr>
  </w:style>
  <w:style w:type="character" w:customStyle="1" w:styleId="bzpyqfadein">
    <w:name w:val="bz_pyq_fadein"/>
    <w:basedOn w:val="DefaultParagraphFont"/>
    <w:rsid w:val="00A329FA"/>
  </w:style>
  <w:style w:type="character" w:customStyle="1" w:styleId="s2">
    <w:name w:val="s2"/>
    <w:basedOn w:val="DefaultParagraphFont"/>
    <w:rsid w:val="003075AB"/>
    <w:rPr>
      <w:rFonts w:ascii="Helvetica" w:hAnsi="Helvetica" w:hint="default"/>
      <w:color w:val="FB0007"/>
      <w:sz w:val="12"/>
      <w:szCs w:val="12"/>
    </w:rPr>
  </w:style>
  <w:style w:type="character" w:styleId="Strong">
    <w:name w:val="Strong"/>
    <w:basedOn w:val="DefaultParagraphFont"/>
    <w:uiPriority w:val="22"/>
    <w:qFormat/>
    <w:rsid w:val="003143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www.bankofengland.co.uk/monetary-policy-summary-and-minutes/2016/mpc-august-2016"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lseg.com/en/data-analytics/market-data/data-feeds/tick-history"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bankofengland.co.uk/monetary-policy-summary-and-minutes/2020/january-2020" TargetMode="External"/><Relationship Id="rId10" Type="http://schemas.openxmlformats.org/officeDocument/2006/relationships/image" Target="media/image6.png"/><Relationship Id="rId19" Type="http://schemas.openxmlformats.org/officeDocument/2006/relationships/hyperlink" Target="https://www.bankofengland.co.uk/inflation-report/1997/august-1997"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bankofengland.co.uk/monetary-policy-summary-and-minutes/2019/november-20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24</Pages>
  <Words>3384</Words>
  <Characters>19294</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Robert Noel</dc:creator>
  <cp:keywords/>
  <dc:description/>
  <cp:lastModifiedBy>Jack Robert Noel</cp:lastModifiedBy>
  <cp:revision>81</cp:revision>
  <dcterms:created xsi:type="dcterms:W3CDTF">2026-02-16T13:21:00Z</dcterms:created>
  <dcterms:modified xsi:type="dcterms:W3CDTF">2026-03-25T13:24:00Z</dcterms:modified>
</cp:coreProperties>
</file>