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1C321" w14:textId="77777777" w:rsidR="0030785C" w:rsidRDefault="0030785C" w:rsidP="0021032C">
      <w:pPr>
        <w:autoSpaceDE w:val="0"/>
        <w:autoSpaceDN w:val="0"/>
        <w:adjustRightInd w:val="0"/>
        <w:spacing w:after="0" w:line="360" w:lineRule="auto"/>
        <w:rPr>
          <w:rFonts w:ascii="Times New Roman" w:hAnsi="Times New Roman" w:cs="Times New Roman"/>
          <w:b/>
          <w:bCs/>
          <w:kern w:val="0"/>
          <w:sz w:val="22"/>
          <w:szCs w:val="22"/>
        </w:rPr>
      </w:pPr>
      <w:r>
        <w:rPr>
          <w:rFonts w:ascii="Times New Roman" w:hAnsi="Times New Roman" w:cs="Times New Roman"/>
          <w:b/>
          <w:bCs/>
          <w:kern w:val="0"/>
          <w:sz w:val="22"/>
          <w:szCs w:val="22"/>
        </w:rPr>
        <w:t>Cover</w:t>
      </w:r>
    </w:p>
    <w:p w14:paraId="339518B5" w14:textId="77777777" w:rsidR="0030785C" w:rsidRDefault="0030785C" w:rsidP="003F78D3">
      <w:pPr>
        <w:autoSpaceDE w:val="0"/>
        <w:autoSpaceDN w:val="0"/>
        <w:adjustRightInd w:val="0"/>
        <w:spacing w:after="0" w:line="360" w:lineRule="auto"/>
        <w:rPr>
          <w:rFonts w:ascii="Times New Roman" w:hAnsi="Times New Roman" w:cs="Times New Roman"/>
          <w:b/>
          <w:bCs/>
          <w:kern w:val="0"/>
          <w:sz w:val="22"/>
          <w:szCs w:val="22"/>
        </w:rPr>
      </w:pPr>
    </w:p>
    <w:p w14:paraId="6F2BBCBE" w14:textId="1F87B0C4" w:rsidR="00263EC0" w:rsidRPr="003F78D3" w:rsidRDefault="00B806DD" w:rsidP="003F78D3">
      <w:pPr>
        <w:autoSpaceDE w:val="0"/>
        <w:autoSpaceDN w:val="0"/>
        <w:adjustRightInd w:val="0"/>
        <w:spacing w:after="0" w:line="360" w:lineRule="auto"/>
        <w:rPr>
          <w:rFonts w:ascii="Times New Roman" w:hAnsi="Times New Roman" w:cs="Times New Roman"/>
          <w:b/>
          <w:bCs/>
          <w:kern w:val="0"/>
          <w:sz w:val="22"/>
          <w:szCs w:val="22"/>
        </w:rPr>
      </w:pPr>
      <w:r w:rsidRPr="003F78D3">
        <w:rPr>
          <w:rFonts w:ascii="Times New Roman" w:hAnsi="Times New Roman" w:cs="Times New Roman"/>
          <w:b/>
          <w:bCs/>
          <w:kern w:val="0"/>
          <w:sz w:val="22"/>
          <w:szCs w:val="22"/>
        </w:rPr>
        <w:t xml:space="preserve">Do </w:t>
      </w:r>
      <w:r w:rsidR="00E9624E" w:rsidRPr="003F78D3">
        <w:rPr>
          <w:rFonts w:ascii="Times New Roman" w:hAnsi="Times New Roman" w:cs="Times New Roman"/>
          <w:b/>
          <w:bCs/>
          <w:kern w:val="0"/>
          <w:sz w:val="22"/>
          <w:szCs w:val="22"/>
        </w:rPr>
        <w:t xml:space="preserve">UK </w:t>
      </w:r>
      <w:r w:rsidRPr="003F78D3">
        <w:rPr>
          <w:rFonts w:ascii="Times New Roman" w:hAnsi="Times New Roman" w:cs="Times New Roman"/>
          <w:b/>
          <w:bCs/>
          <w:kern w:val="0"/>
          <w:sz w:val="22"/>
          <w:szCs w:val="22"/>
        </w:rPr>
        <w:t xml:space="preserve">equity markets react asymmetrically to </w:t>
      </w:r>
      <w:r w:rsidR="00E9624E" w:rsidRPr="003F78D3">
        <w:rPr>
          <w:rFonts w:ascii="Times New Roman" w:hAnsi="Times New Roman" w:cs="Times New Roman"/>
          <w:b/>
          <w:bCs/>
          <w:kern w:val="0"/>
          <w:sz w:val="22"/>
          <w:szCs w:val="22"/>
        </w:rPr>
        <w:t xml:space="preserve">BoE </w:t>
      </w:r>
      <w:r w:rsidRPr="003F78D3">
        <w:rPr>
          <w:rFonts w:ascii="Times New Roman" w:hAnsi="Times New Roman" w:cs="Times New Roman"/>
          <w:b/>
          <w:bCs/>
          <w:kern w:val="0"/>
          <w:sz w:val="22"/>
          <w:szCs w:val="22"/>
        </w:rPr>
        <w:t>monetary tightening vs easing?</w:t>
      </w:r>
      <w:r w:rsidR="00263EC0" w:rsidRPr="003F78D3">
        <w:rPr>
          <w:rFonts w:ascii="Times New Roman" w:hAnsi="Times New Roman" w:cs="Times New Roman"/>
          <w:b/>
          <w:bCs/>
          <w:kern w:val="0"/>
          <w:sz w:val="22"/>
          <w:szCs w:val="22"/>
        </w:rPr>
        <w:t xml:space="preserve"> </w:t>
      </w:r>
    </w:p>
    <w:p w14:paraId="42174F00" w14:textId="2714FB79" w:rsidR="00C33970" w:rsidRPr="003F78D3" w:rsidRDefault="00C33970" w:rsidP="003F78D3">
      <w:pPr>
        <w:autoSpaceDE w:val="0"/>
        <w:autoSpaceDN w:val="0"/>
        <w:adjustRightInd w:val="0"/>
        <w:spacing w:after="0" w:line="360" w:lineRule="auto"/>
        <w:rPr>
          <w:rFonts w:ascii="Times New Roman" w:hAnsi="Times New Roman" w:cs="Times New Roman"/>
          <w:color w:val="000000"/>
          <w:sz w:val="22"/>
          <w:szCs w:val="22"/>
        </w:rPr>
      </w:pPr>
      <w:r w:rsidRPr="003F78D3">
        <w:rPr>
          <w:rFonts w:ascii="Times New Roman" w:hAnsi="Times New Roman" w:cs="Times New Roman"/>
          <w:color w:val="000000"/>
          <w:sz w:val="22"/>
          <w:szCs w:val="22"/>
        </w:rPr>
        <w:t>Do UK equity markets respond asymmetrically to different types of monetary policy shocks (Target, Path, QE), and how do these effects evolve over time?</w:t>
      </w:r>
    </w:p>
    <w:p w14:paraId="6E74D938" w14:textId="77777777" w:rsidR="003F78D3" w:rsidRPr="003F78D3" w:rsidRDefault="003F78D3" w:rsidP="003F78D3">
      <w:pPr>
        <w:autoSpaceDE w:val="0"/>
        <w:autoSpaceDN w:val="0"/>
        <w:adjustRightInd w:val="0"/>
        <w:spacing w:after="0" w:line="360" w:lineRule="auto"/>
        <w:rPr>
          <w:rFonts w:ascii="Times New Roman" w:hAnsi="Times New Roman" w:cs="Times New Roman"/>
          <w:kern w:val="0"/>
          <w:sz w:val="22"/>
          <w:szCs w:val="22"/>
        </w:rPr>
      </w:pPr>
      <w:r w:rsidRPr="003F78D3">
        <w:rPr>
          <w:rFonts w:ascii="Times New Roman" w:hAnsi="Times New Roman" w:cs="Times New Roman"/>
          <w:kern w:val="0"/>
          <w:sz w:val="22"/>
          <w:szCs w:val="22"/>
        </w:rPr>
        <w:t>Do UK equity markets respond differently to BoE tightening and easing shocks, and does this response vary across monetary policy regimes?</w:t>
      </w:r>
    </w:p>
    <w:p w14:paraId="7F40A7DE" w14:textId="77777777" w:rsidR="003F78D3" w:rsidRPr="003F78D3" w:rsidRDefault="003F78D3" w:rsidP="003F78D3">
      <w:pPr>
        <w:autoSpaceDE w:val="0"/>
        <w:autoSpaceDN w:val="0"/>
        <w:adjustRightInd w:val="0"/>
        <w:spacing w:after="0" w:line="360" w:lineRule="auto"/>
        <w:rPr>
          <w:rFonts w:ascii="Times New Roman" w:hAnsi="Times New Roman" w:cs="Times New Roman"/>
          <w:b/>
          <w:bCs/>
          <w:kern w:val="0"/>
          <w:sz w:val="22"/>
          <w:szCs w:val="22"/>
        </w:rPr>
      </w:pPr>
    </w:p>
    <w:p w14:paraId="6174685D" w14:textId="77777777" w:rsidR="00C33970" w:rsidRPr="00A070DF" w:rsidRDefault="00C33970" w:rsidP="003F78D3">
      <w:pPr>
        <w:autoSpaceDE w:val="0"/>
        <w:autoSpaceDN w:val="0"/>
        <w:adjustRightInd w:val="0"/>
        <w:spacing w:after="0" w:line="360" w:lineRule="auto"/>
        <w:rPr>
          <w:rFonts w:ascii="Times New Roman" w:hAnsi="Times New Roman" w:cs="Times New Roman"/>
          <w:b/>
          <w:bCs/>
          <w:kern w:val="0"/>
          <w:sz w:val="22"/>
          <w:szCs w:val="22"/>
        </w:rPr>
      </w:pPr>
    </w:p>
    <w:p w14:paraId="5A2E8F34" w14:textId="1748562A" w:rsidR="00B806DD" w:rsidRDefault="00263EC0" w:rsidP="003F78D3">
      <w:pPr>
        <w:autoSpaceDE w:val="0"/>
        <w:autoSpaceDN w:val="0"/>
        <w:adjustRightInd w:val="0"/>
        <w:spacing w:after="0" w:line="360" w:lineRule="auto"/>
        <w:rPr>
          <w:rFonts w:ascii="Times New Roman" w:hAnsi="Times New Roman" w:cs="Times New Roman"/>
          <w:color w:val="000000"/>
          <w:sz w:val="22"/>
          <w:szCs w:val="22"/>
        </w:rPr>
      </w:pPr>
      <w:r w:rsidRPr="00A070DF">
        <w:rPr>
          <w:rFonts w:ascii="Times New Roman" w:hAnsi="Times New Roman" w:cs="Times New Roman"/>
          <w:color w:val="000000"/>
          <w:sz w:val="22"/>
          <w:szCs w:val="22"/>
        </w:rPr>
        <w:t>E[equity response | policy shock]</w:t>
      </w:r>
    </w:p>
    <w:p w14:paraId="616FEB53" w14:textId="77777777" w:rsidR="00A96C4F" w:rsidRDefault="00A96C4F" w:rsidP="003F78D3">
      <w:pPr>
        <w:autoSpaceDE w:val="0"/>
        <w:autoSpaceDN w:val="0"/>
        <w:adjustRightInd w:val="0"/>
        <w:spacing w:after="0" w:line="360" w:lineRule="auto"/>
        <w:rPr>
          <w:rFonts w:ascii="Times New Roman" w:hAnsi="Times New Roman" w:cs="Times New Roman"/>
          <w:color w:val="000000"/>
          <w:sz w:val="22"/>
          <w:szCs w:val="22"/>
        </w:rPr>
      </w:pPr>
    </w:p>
    <w:p w14:paraId="2F231592" w14:textId="77777777" w:rsidR="00A96C4F" w:rsidRDefault="00A96C4F" w:rsidP="003F78D3">
      <w:pPr>
        <w:autoSpaceDE w:val="0"/>
        <w:autoSpaceDN w:val="0"/>
        <w:adjustRightInd w:val="0"/>
        <w:spacing w:after="0" w:line="360" w:lineRule="auto"/>
        <w:rPr>
          <w:rFonts w:ascii="Times New Roman" w:hAnsi="Times New Roman" w:cs="Times New Roman"/>
          <w:color w:val="000000"/>
          <w:sz w:val="22"/>
          <w:szCs w:val="22"/>
        </w:rPr>
      </w:pPr>
    </w:p>
    <w:p w14:paraId="1964504B" w14:textId="77777777" w:rsidR="00A96C4F" w:rsidRPr="00A96C4F" w:rsidRDefault="00A96C4F" w:rsidP="00A96C4F">
      <w:pPr>
        <w:spacing w:after="0" w:line="240" w:lineRule="auto"/>
        <w:rPr>
          <w:rFonts w:ascii="Times New Roman" w:eastAsia="Times New Roman" w:hAnsi="Times New Roman" w:cs="Times New Roman"/>
          <w:kern w:val="0"/>
          <w:lang w:eastAsia="en-GB"/>
          <w14:ligatures w14:val="none"/>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Core question:</w:t>
      </w:r>
      <w:r w:rsidRPr="00A96C4F">
        <w:rPr>
          <w:rFonts w:ascii="Times New Roman" w:eastAsia="Times New Roman" w:hAnsi="Times New Roman" w:cs="Times New Roman"/>
          <w:kern w:val="0"/>
          <w:lang w:eastAsia="en-GB"/>
          <w14:ligatures w14:val="none"/>
        </w:rPr>
        <w:t> Do equity responses to BoE shocks differ between tightening and easing?</w:t>
      </w:r>
    </w:p>
    <w:p w14:paraId="38691D45" w14:textId="77777777" w:rsidR="00A96C4F" w:rsidRPr="00A96C4F" w:rsidRDefault="00A96C4F" w:rsidP="00A96C4F">
      <w:pPr>
        <w:spacing w:after="0" w:line="240" w:lineRule="auto"/>
        <w:rPr>
          <w:rFonts w:ascii="Times New Roman" w:eastAsia="Times New Roman" w:hAnsi="Times New Roman" w:cs="Times New Roman"/>
          <w:kern w:val="0"/>
          <w:lang w:eastAsia="en-GB"/>
          <w14:ligatures w14:val="none"/>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Axis 1 — Shock type (Target / Path / QE):</w:t>
      </w:r>
      <w:r w:rsidRPr="00A96C4F">
        <w:rPr>
          <w:rFonts w:ascii="Times New Roman" w:eastAsia="Times New Roman" w:hAnsi="Times New Roman" w:cs="Times New Roman"/>
          <w:kern w:val="0"/>
          <w:lang w:eastAsia="en-GB"/>
          <w14:ligatures w14:val="none"/>
        </w:rPr>
        <w:t> Does the asymmetry depend on </w:t>
      </w:r>
      <w:r w:rsidRPr="00A96C4F">
        <w:rPr>
          <w:rFonts w:ascii="Times New Roman" w:eastAsia="Times New Roman" w:hAnsi="Times New Roman" w:cs="Times New Roman"/>
          <w:i/>
          <w:iCs/>
          <w:kern w:val="0"/>
          <w:lang w:eastAsia="en-GB"/>
          <w14:ligatures w14:val="none"/>
        </w:rPr>
        <w:t>what kind</w:t>
      </w:r>
      <w:r w:rsidRPr="00A96C4F">
        <w:rPr>
          <w:rFonts w:ascii="Times New Roman" w:eastAsia="Times New Roman" w:hAnsi="Times New Roman" w:cs="Times New Roman"/>
          <w:kern w:val="0"/>
          <w:lang w:eastAsia="en-GB"/>
          <w14:ligatures w14:val="none"/>
        </w:rPr>
        <w:t> of policy surprise it is?</w:t>
      </w:r>
    </w:p>
    <w:p w14:paraId="3394B99B" w14:textId="77777777" w:rsidR="00A96C4F" w:rsidRPr="00A96C4F" w:rsidRDefault="00A96C4F" w:rsidP="00A96C4F">
      <w:pPr>
        <w:spacing w:after="0" w:line="240" w:lineRule="auto"/>
        <w:rPr>
          <w:rFonts w:ascii="Times New Roman" w:eastAsia="Times New Roman" w:hAnsi="Times New Roman" w:cs="Times New Roman"/>
          <w:kern w:val="0"/>
          <w:lang w:eastAsia="en-GB"/>
          <w14:ligatures w14:val="none"/>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Axis 2 — Horizons (h = 0 to 20):</w:t>
      </w:r>
      <w:r w:rsidRPr="00A96C4F">
        <w:rPr>
          <w:rFonts w:ascii="Times New Roman" w:eastAsia="Times New Roman" w:hAnsi="Times New Roman" w:cs="Times New Roman"/>
          <w:kern w:val="0"/>
          <w:lang w:eastAsia="en-GB"/>
          <w14:ligatures w14:val="none"/>
        </w:rPr>
        <w:t> Does the asymmetry depend on </w:t>
      </w:r>
      <w:r w:rsidRPr="00A96C4F">
        <w:rPr>
          <w:rFonts w:ascii="Times New Roman" w:eastAsia="Times New Roman" w:hAnsi="Times New Roman" w:cs="Times New Roman"/>
          <w:i/>
          <w:iCs/>
          <w:kern w:val="0"/>
          <w:lang w:eastAsia="en-GB"/>
          <w14:ligatures w14:val="none"/>
        </w:rPr>
        <w:t>how soon after</w:t>
      </w:r>
      <w:r w:rsidRPr="00A96C4F">
        <w:rPr>
          <w:rFonts w:ascii="Times New Roman" w:eastAsia="Times New Roman" w:hAnsi="Times New Roman" w:cs="Times New Roman"/>
          <w:kern w:val="0"/>
          <w:lang w:eastAsia="en-GB"/>
          <w14:ligatures w14:val="none"/>
        </w:rPr>
        <w:t> the shock you look?</w:t>
      </w:r>
    </w:p>
    <w:p w14:paraId="2F7ADAAF" w14:textId="6BA14B78" w:rsidR="00A96C4F" w:rsidRDefault="00A96C4F" w:rsidP="00A96C4F">
      <w:pPr>
        <w:autoSpaceDE w:val="0"/>
        <w:autoSpaceDN w:val="0"/>
        <w:adjustRightInd w:val="0"/>
        <w:spacing w:after="0" w:line="360" w:lineRule="auto"/>
        <w:rPr>
          <w:rFonts w:ascii="Times New Roman" w:hAnsi="Times New Roman" w:cs="Times New Roman"/>
          <w:color w:val="000000"/>
          <w:sz w:val="22"/>
          <w:szCs w:val="22"/>
        </w:rPr>
      </w:pPr>
      <w:r w:rsidRPr="00A96C4F">
        <w:rPr>
          <w:rFonts w:ascii="Times New Roman" w:eastAsia="Times New Roman" w:hAnsi="Symbol" w:cs="Times New Roman"/>
          <w:kern w:val="0"/>
          <w:lang w:eastAsia="en-GB"/>
          <w14:ligatures w14:val="none"/>
        </w:rPr>
        <w:t></w:t>
      </w:r>
      <w:r w:rsidRPr="00A96C4F">
        <w:rPr>
          <w:rFonts w:ascii="Times New Roman" w:eastAsia="Times New Roman" w:hAnsi="Times New Roman" w:cs="Times New Roman"/>
          <w:kern w:val="0"/>
          <w:lang w:eastAsia="en-GB"/>
          <w14:ligatures w14:val="none"/>
        </w:rPr>
        <w:t xml:space="preserve">  </w:t>
      </w:r>
      <w:r w:rsidRPr="00A96C4F">
        <w:rPr>
          <w:rFonts w:ascii="Times New Roman" w:eastAsia="Times New Roman" w:hAnsi="Times New Roman" w:cs="Times New Roman"/>
          <w:b/>
          <w:bCs/>
          <w:kern w:val="0"/>
          <w:lang w:eastAsia="en-GB"/>
          <w14:ligatures w14:val="none"/>
        </w:rPr>
        <w:t>Axis 3 — Regimes (pre/post-QE, Super Thursday, COVID, QT):</w:t>
      </w:r>
      <w:r w:rsidRPr="00A96C4F">
        <w:rPr>
          <w:rFonts w:ascii="Times New Roman" w:eastAsia="Times New Roman" w:hAnsi="Times New Roman" w:cs="Times New Roman"/>
          <w:kern w:val="0"/>
          <w:lang w:eastAsia="en-GB"/>
          <w14:ligatures w14:val="none"/>
        </w:rPr>
        <w:t> Does the asymmetry depend on </w:t>
      </w:r>
      <w:r w:rsidRPr="00A96C4F">
        <w:rPr>
          <w:rFonts w:ascii="Times New Roman" w:eastAsia="Times New Roman" w:hAnsi="Times New Roman" w:cs="Times New Roman"/>
          <w:i/>
          <w:iCs/>
          <w:kern w:val="0"/>
          <w:lang w:eastAsia="en-GB"/>
          <w14:ligatures w14:val="none"/>
        </w:rPr>
        <w:t>when in history</w:t>
      </w:r>
      <w:r w:rsidRPr="00A96C4F">
        <w:rPr>
          <w:rFonts w:ascii="Times New Roman" w:eastAsia="Times New Roman" w:hAnsi="Times New Roman" w:cs="Times New Roman"/>
          <w:kern w:val="0"/>
          <w:lang w:eastAsia="en-GB"/>
          <w14:ligatures w14:val="none"/>
        </w:rPr>
        <w:t> the shock occurred?</w:t>
      </w:r>
    </w:p>
    <w:p w14:paraId="3E08315B" w14:textId="561A79D9" w:rsidR="00972B67" w:rsidRDefault="00972B67">
      <w:pPr>
        <w:rPr>
          <w:rFonts w:ascii="Times New Roman" w:hAnsi="Times New Roman" w:cs="Times New Roman"/>
          <w:color w:val="000000"/>
          <w:sz w:val="22"/>
          <w:szCs w:val="22"/>
        </w:rPr>
      </w:pPr>
      <w:r>
        <w:rPr>
          <w:rFonts w:ascii="Times New Roman" w:hAnsi="Times New Roman" w:cs="Times New Roman"/>
          <w:color w:val="000000"/>
          <w:sz w:val="22"/>
          <w:szCs w:val="22"/>
        </w:rPr>
        <w:br w:type="page"/>
      </w:r>
    </w:p>
    <w:sdt>
      <w:sdtPr>
        <w:rPr>
          <w:rFonts w:ascii="Times New Roman" w:hAnsi="Times New Roman" w:cs="Times New Roman"/>
        </w:rPr>
        <w:id w:val="183108915"/>
        <w:docPartObj>
          <w:docPartGallery w:val="Table of Contents"/>
          <w:docPartUnique/>
        </w:docPartObj>
      </w:sdtPr>
      <w:sdtEndPr>
        <w:rPr>
          <w:rFonts w:eastAsiaTheme="minorHAnsi"/>
          <w:noProof/>
          <w:color w:val="auto"/>
          <w:kern w:val="2"/>
          <w:sz w:val="24"/>
          <w:szCs w:val="24"/>
          <w:lang w:val="en-GB"/>
          <w14:ligatures w14:val="standardContextual"/>
        </w:rPr>
      </w:sdtEndPr>
      <w:sdtContent>
        <w:p w14:paraId="41242A52" w14:textId="5C6AE86F" w:rsidR="00CE4707" w:rsidRPr="00A976EF" w:rsidRDefault="00CE4707">
          <w:pPr>
            <w:pStyle w:val="TOCHeading"/>
            <w:rPr>
              <w:rFonts w:ascii="Times New Roman" w:hAnsi="Times New Roman" w:cs="Times New Roman"/>
            </w:rPr>
          </w:pPr>
          <w:r w:rsidRPr="00A976EF">
            <w:rPr>
              <w:rFonts w:ascii="Times New Roman" w:hAnsi="Times New Roman" w:cs="Times New Roman"/>
            </w:rPr>
            <w:t>Table of Contents</w:t>
          </w:r>
        </w:p>
        <w:p w14:paraId="76B9A0AF" w14:textId="54F86579" w:rsidR="00A976EF" w:rsidRPr="00A976EF" w:rsidRDefault="00CE4707">
          <w:pPr>
            <w:pStyle w:val="TOC1"/>
            <w:tabs>
              <w:tab w:val="left" w:pos="480"/>
              <w:tab w:val="right" w:leader="dot" w:pos="9350"/>
            </w:tabs>
            <w:rPr>
              <w:rFonts w:ascii="Times New Roman" w:eastAsiaTheme="minorEastAsia" w:hAnsi="Times New Roman" w:cs="Times New Roman"/>
              <w:b w:val="0"/>
              <w:bCs w:val="0"/>
              <w:i w:val="0"/>
              <w:iCs w:val="0"/>
              <w:noProof/>
              <w:lang w:eastAsia="en-GB"/>
            </w:rPr>
          </w:pPr>
          <w:r w:rsidRPr="00A976EF">
            <w:rPr>
              <w:rFonts w:ascii="Times New Roman" w:hAnsi="Times New Roman" w:cs="Times New Roman"/>
              <w:b w:val="0"/>
              <w:bCs w:val="0"/>
            </w:rPr>
            <w:fldChar w:fldCharType="begin"/>
          </w:r>
          <w:r w:rsidRPr="00A976EF">
            <w:rPr>
              <w:rFonts w:ascii="Times New Roman" w:hAnsi="Times New Roman" w:cs="Times New Roman"/>
            </w:rPr>
            <w:instrText xml:space="preserve"> TOC \o "1-3" \h \z \u </w:instrText>
          </w:r>
          <w:r w:rsidRPr="00A976EF">
            <w:rPr>
              <w:rFonts w:ascii="Times New Roman" w:hAnsi="Times New Roman" w:cs="Times New Roman"/>
              <w:b w:val="0"/>
              <w:bCs w:val="0"/>
            </w:rPr>
            <w:fldChar w:fldCharType="separate"/>
          </w:r>
          <w:hyperlink w:anchor="_Toc227839907" w:history="1">
            <w:r w:rsidR="00A976EF" w:rsidRPr="00A976EF">
              <w:rPr>
                <w:rStyle w:val="Hyperlink"/>
                <w:rFonts w:ascii="Times New Roman" w:hAnsi="Times New Roman" w:cs="Times New Roman"/>
                <w:noProof/>
              </w:rPr>
              <w:t>1.</w:t>
            </w:r>
            <w:r w:rsidR="00A976EF" w:rsidRPr="00A976EF">
              <w:rPr>
                <w:rFonts w:ascii="Times New Roman" w:eastAsiaTheme="minorEastAsia" w:hAnsi="Times New Roman" w:cs="Times New Roman"/>
                <w:b w:val="0"/>
                <w:bCs w:val="0"/>
                <w:i w:val="0"/>
                <w:iCs w:val="0"/>
                <w:noProof/>
                <w:lang w:eastAsia="en-GB"/>
              </w:rPr>
              <w:tab/>
            </w:r>
            <w:r w:rsidR="00A976EF" w:rsidRPr="00A976EF">
              <w:rPr>
                <w:rStyle w:val="Hyperlink"/>
                <w:rFonts w:ascii="Times New Roman" w:hAnsi="Times New Roman" w:cs="Times New Roman"/>
                <w:noProof/>
              </w:rPr>
              <w:t>Abstract</w:t>
            </w:r>
            <w:r w:rsidR="00A976EF" w:rsidRPr="00A976EF">
              <w:rPr>
                <w:rFonts w:ascii="Times New Roman" w:hAnsi="Times New Roman" w:cs="Times New Roman"/>
                <w:noProof/>
                <w:webHidden/>
              </w:rPr>
              <w:tab/>
            </w:r>
            <w:r w:rsidR="00A976EF" w:rsidRPr="00A976EF">
              <w:rPr>
                <w:rFonts w:ascii="Times New Roman" w:hAnsi="Times New Roman" w:cs="Times New Roman"/>
                <w:noProof/>
                <w:webHidden/>
              </w:rPr>
              <w:fldChar w:fldCharType="begin"/>
            </w:r>
            <w:r w:rsidR="00A976EF" w:rsidRPr="00A976EF">
              <w:rPr>
                <w:rFonts w:ascii="Times New Roman" w:hAnsi="Times New Roman" w:cs="Times New Roman"/>
                <w:noProof/>
                <w:webHidden/>
              </w:rPr>
              <w:instrText xml:space="preserve"> PAGEREF _Toc227839907 \h </w:instrText>
            </w:r>
            <w:r w:rsidR="00A976EF" w:rsidRPr="00A976EF">
              <w:rPr>
                <w:rFonts w:ascii="Times New Roman" w:hAnsi="Times New Roman" w:cs="Times New Roman"/>
                <w:noProof/>
                <w:webHidden/>
              </w:rPr>
            </w:r>
            <w:r w:rsidR="00A976EF" w:rsidRPr="00A976EF">
              <w:rPr>
                <w:rFonts w:ascii="Times New Roman" w:hAnsi="Times New Roman" w:cs="Times New Roman"/>
                <w:noProof/>
                <w:webHidden/>
              </w:rPr>
              <w:fldChar w:fldCharType="separate"/>
            </w:r>
            <w:r w:rsidR="00A976EF" w:rsidRPr="00A976EF">
              <w:rPr>
                <w:rFonts w:ascii="Times New Roman" w:hAnsi="Times New Roman" w:cs="Times New Roman"/>
                <w:noProof/>
                <w:webHidden/>
              </w:rPr>
              <w:t>3</w:t>
            </w:r>
            <w:r w:rsidR="00A976EF" w:rsidRPr="00A976EF">
              <w:rPr>
                <w:rFonts w:ascii="Times New Roman" w:hAnsi="Times New Roman" w:cs="Times New Roman"/>
                <w:noProof/>
                <w:webHidden/>
              </w:rPr>
              <w:fldChar w:fldCharType="end"/>
            </w:r>
          </w:hyperlink>
        </w:p>
        <w:p w14:paraId="4A566371" w14:textId="066E9B72"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08" w:history="1">
            <w:r w:rsidRPr="00A976EF">
              <w:rPr>
                <w:rStyle w:val="Hyperlink"/>
                <w:rFonts w:ascii="Times New Roman" w:hAnsi="Times New Roman" w:cs="Times New Roman"/>
                <w:noProof/>
              </w:rPr>
              <w:t>2.</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Introduction: 2.5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_Toc227839908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4</w:t>
            </w:r>
            <w:r w:rsidRPr="00A976EF">
              <w:rPr>
                <w:rFonts w:ascii="Times New Roman" w:hAnsi="Times New Roman" w:cs="Times New Roman"/>
                <w:noProof/>
                <w:webHidden/>
              </w:rPr>
              <w:fldChar w:fldCharType="end"/>
            </w:r>
          </w:hyperlink>
        </w:p>
        <w:p w14:paraId="6F31C847" w14:textId="39D50490"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09" w:history="1">
            <w:r w:rsidRPr="00A976EF">
              <w:rPr>
                <w:rStyle w:val="Hyperlink"/>
                <w:rFonts w:ascii="Times New Roman" w:hAnsi="Times New Roman" w:cs="Times New Roman"/>
                <w:noProof/>
              </w:rPr>
              <w:t>3.</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Literature and Institutional Background – 3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_Toc227839909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5</w:t>
            </w:r>
            <w:r w:rsidRPr="00A976EF">
              <w:rPr>
                <w:rFonts w:ascii="Times New Roman" w:hAnsi="Times New Roman" w:cs="Times New Roman"/>
                <w:noProof/>
                <w:webHidden/>
              </w:rPr>
              <w:fldChar w:fldCharType="end"/>
            </w:r>
          </w:hyperlink>
        </w:p>
        <w:p w14:paraId="63DD5103" w14:textId="3A2E2E93"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0" w:history="1">
            <w:r w:rsidRPr="00A976EF">
              <w:rPr>
                <w:rStyle w:val="Hyperlink"/>
                <w:rFonts w:ascii="Times New Roman" w:hAnsi="Times New Roman" w:cs="Times New Roman"/>
                <w:noProof/>
              </w:rPr>
              <w:t>4.</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Data – 2.5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_Toc227839910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16</w:t>
            </w:r>
            <w:r w:rsidRPr="00A976EF">
              <w:rPr>
                <w:rFonts w:ascii="Times New Roman" w:hAnsi="Times New Roman" w:cs="Times New Roman"/>
                <w:noProof/>
                <w:webHidden/>
              </w:rPr>
              <w:fldChar w:fldCharType="end"/>
            </w:r>
          </w:hyperlink>
        </w:p>
        <w:p w14:paraId="3C79DEA5" w14:textId="3BD31D88"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1" w:history="1">
            <w:r w:rsidRPr="00A976EF">
              <w:rPr>
                <w:rStyle w:val="Hyperlink"/>
                <w:rFonts w:ascii="Times New Roman" w:hAnsi="Times New Roman" w:cs="Times New Roman"/>
                <w:noProof/>
              </w:rPr>
              <w:t>5.</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Methodology – 3.5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_Toc227839911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19</w:t>
            </w:r>
            <w:r w:rsidRPr="00A976EF">
              <w:rPr>
                <w:rFonts w:ascii="Times New Roman" w:hAnsi="Times New Roman" w:cs="Times New Roman"/>
                <w:noProof/>
                <w:webHidden/>
              </w:rPr>
              <w:fldChar w:fldCharType="end"/>
            </w:r>
          </w:hyperlink>
        </w:p>
        <w:p w14:paraId="2A5F31C4" w14:textId="5E8845E0"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2" w:history="1">
            <w:r w:rsidRPr="00A976EF">
              <w:rPr>
                <w:rStyle w:val="Hyperlink"/>
                <w:rFonts w:ascii="Times New Roman" w:hAnsi="Times New Roman" w:cs="Times New Roman"/>
                <w:noProof/>
              </w:rPr>
              <w:t>6.</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Baseline Asymmetric Results – 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_Toc227839912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22</w:t>
            </w:r>
            <w:r w:rsidRPr="00A976EF">
              <w:rPr>
                <w:rFonts w:ascii="Times New Roman" w:hAnsi="Times New Roman" w:cs="Times New Roman"/>
                <w:noProof/>
                <w:webHidden/>
              </w:rPr>
              <w:fldChar w:fldCharType="end"/>
            </w:r>
          </w:hyperlink>
        </w:p>
        <w:p w14:paraId="2104ED2B" w14:textId="2E83B2FD"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3" w:history="1">
            <w:r w:rsidRPr="00A976EF">
              <w:rPr>
                <w:rStyle w:val="Hyperlink"/>
                <w:rFonts w:ascii="Times New Roman" w:hAnsi="Times New Roman" w:cs="Times New Roman"/>
                <w:noProof/>
              </w:rPr>
              <w:t>7.</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Regime Analysis – 3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_Toc227839913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24</w:t>
            </w:r>
            <w:r w:rsidRPr="00A976EF">
              <w:rPr>
                <w:rFonts w:ascii="Times New Roman" w:hAnsi="Times New Roman" w:cs="Times New Roman"/>
                <w:noProof/>
                <w:webHidden/>
              </w:rPr>
              <w:fldChar w:fldCharType="end"/>
            </w:r>
          </w:hyperlink>
        </w:p>
        <w:p w14:paraId="550B509A" w14:textId="12299E43"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4" w:history="1">
            <w:r w:rsidRPr="00A976EF">
              <w:rPr>
                <w:rStyle w:val="Hyperlink"/>
                <w:rFonts w:ascii="Times New Roman" w:hAnsi="Times New Roman" w:cs="Times New Roman"/>
                <w:noProof/>
              </w:rPr>
              <w:t>8.</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Robustness – 2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_Toc227839914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25</w:t>
            </w:r>
            <w:r w:rsidRPr="00A976EF">
              <w:rPr>
                <w:rFonts w:ascii="Times New Roman" w:hAnsi="Times New Roman" w:cs="Times New Roman"/>
                <w:noProof/>
                <w:webHidden/>
              </w:rPr>
              <w:fldChar w:fldCharType="end"/>
            </w:r>
          </w:hyperlink>
        </w:p>
        <w:p w14:paraId="2E2016D0" w14:textId="3395DAA8" w:rsidR="00A976EF" w:rsidRPr="00A976EF" w:rsidRDefault="00A976EF">
          <w:pPr>
            <w:pStyle w:val="TOC1"/>
            <w:tabs>
              <w:tab w:val="left" w:pos="480"/>
              <w:tab w:val="right" w:leader="dot" w:pos="9350"/>
            </w:tabs>
            <w:rPr>
              <w:rFonts w:ascii="Times New Roman" w:eastAsiaTheme="minorEastAsia" w:hAnsi="Times New Roman" w:cs="Times New Roman"/>
              <w:b w:val="0"/>
              <w:bCs w:val="0"/>
              <w:i w:val="0"/>
              <w:iCs w:val="0"/>
              <w:noProof/>
              <w:lang w:eastAsia="en-GB"/>
            </w:rPr>
          </w:pPr>
          <w:hyperlink w:anchor="_Toc227839915" w:history="1">
            <w:r w:rsidRPr="00A976EF">
              <w:rPr>
                <w:rStyle w:val="Hyperlink"/>
                <w:rFonts w:ascii="Times New Roman" w:hAnsi="Times New Roman" w:cs="Times New Roman"/>
                <w:noProof/>
              </w:rPr>
              <w:t>9.</w:t>
            </w:r>
            <w:r w:rsidRPr="00A976EF">
              <w:rPr>
                <w:rFonts w:ascii="Times New Roman" w:eastAsiaTheme="minorEastAsia" w:hAnsi="Times New Roman" w:cs="Times New Roman"/>
                <w:b w:val="0"/>
                <w:bCs w:val="0"/>
                <w:i w:val="0"/>
                <w:iCs w:val="0"/>
                <w:noProof/>
                <w:lang w:eastAsia="en-GB"/>
              </w:rPr>
              <w:tab/>
            </w:r>
            <w:r w:rsidRPr="00A976EF">
              <w:rPr>
                <w:rStyle w:val="Hyperlink"/>
                <w:rFonts w:ascii="Times New Roman" w:hAnsi="Times New Roman" w:cs="Times New Roman"/>
                <w:noProof/>
              </w:rPr>
              <w:t>Discussion and Conclusion – 2.5 pages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_Toc227839915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26</w:t>
            </w:r>
            <w:r w:rsidRPr="00A976EF">
              <w:rPr>
                <w:rFonts w:ascii="Times New Roman" w:hAnsi="Times New Roman" w:cs="Times New Roman"/>
                <w:noProof/>
                <w:webHidden/>
              </w:rPr>
              <w:fldChar w:fldCharType="end"/>
            </w:r>
          </w:hyperlink>
        </w:p>
        <w:p w14:paraId="2017EE80" w14:textId="625A98C4" w:rsidR="00A976EF" w:rsidRPr="00A976EF" w:rsidRDefault="00A976EF">
          <w:pPr>
            <w:pStyle w:val="TOC1"/>
            <w:tabs>
              <w:tab w:val="right" w:leader="dot" w:pos="9350"/>
            </w:tabs>
            <w:rPr>
              <w:rFonts w:ascii="Times New Roman" w:eastAsiaTheme="minorEastAsia" w:hAnsi="Times New Roman" w:cs="Times New Roman"/>
              <w:b w:val="0"/>
              <w:bCs w:val="0"/>
              <w:i w:val="0"/>
              <w:iCs w:val="0"/>
              <w:noProof/>
              <w:lang w:eastAsia="en-GB"/>
            </w:rPr>
          </w:pPr>
          <w:hyperlink w:anchor="_Toc227839916" w:history="1">
            <w:r w:rsidRPr="00A976EF">
              <w:rPr>
                <w:rStyle w:val="Hyperlink"/>
                <w:rFonts w:ascii="Times New Roman" w:hAnsi="Times New Roman" w:cs="Times New Roman"/>
                <w:noProof/>
              </w:rPr>
              <w:t>References</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_Toc227839916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28</w:t>
            </w:r>
            <w:r w:rsidRPr="00A976EF">
              <w:rPr>
                <w:rFonts w:ascii="Times New Roman" w:hAnsi="Times New Roman" w:cs="Times New Roman"/>
                <w:noProof/>
                <w:webHidden/>
              </w:rPr>
              <w:fldChar w:fldCharType="end"/>
            </w:r>
          </w:hyperlink>
        </w:p>
        <w:p w14:paraId="51255C2C" w14:textId="40F82762" w:rsidR="00A976EF" w:rsidRPr="00A976EF" w:rsidRDefault="00A976EF">
          <w:pPr>
            <w:pStyle w:val="TOC1"/>
            <w:tabs>
              <w:tab w:val="right" w:leader="dot" w:pos="9350"/>
            </w:tabs>
            <w:rPr>
              <w:rFonts w:ascii="Times New Roman" w:eastAsiaTheme="minorEastAsia" w:hAnsi="Times New Roman" w:cs="Times New Roman"/>
              <w:b w:val="0"/>
              <w:bCs w:val="0"/>
              <w:i w:val="0"/>
              <w:iCs w:val="0"/>
              <w:noProof/>
              <w:lang w:eastAsia="en-GB"/>
            </w:rPr>
          </w:pPr>
          <w:hyperlink w:anchor="_Toc227839917" w:history="1">
            <w:r w:rsidRPr="00A976EF">
              <w:rPr>
                <w:rStyle w:val="Hyperlink"/>
                <w:rFonts w:ascii="Times New Roman" w:hAnsi="Times New Roman" w:cs="Times New Roman"/>
                <w:noProof/>
              </w:rPr>
              <w:t>Appendix</w:t>
            </w:r>
            <w:r w:rsidRPr="00A976EF">
              <w:rPr>
                <w:rFonts w:ascii="Times New Roman" w:hAnsi="Times New Roman" w:cs="Times New Roman"/>
                <w:noProof/>
                <w:webHidden/>
              </w:rPr>
              <w:tab/>
            </w:r>
            <w:r w:rsidRPr="00A976EF">
              <w:rPr>
                <w:rFonts w:ascii="Times New Roman" w:hAnsi="Times New Roman" w:cs="Times New Roman"/>
                <w:noProof/>
                <w:webHidden/>
              </w:rPr>
              <w:fldChar w:fldCharType="begin"/>
            </w:r>
            <w:r w:rsidRPr="00A976EF">
              <w:rPr>
                <w:rFonts w:ascii="Times New Roman" w:hAnsi="Times New Roman" w:cs="Times New Roman"/>
                <w:noProof/>
                <w:webHidden/>
              </w:rPr>
              <w:instrText xml:space="preserve"> PAGEREF _Toc227839917 \h </w:instrText>
            </w:r>
            <w:r w:rsidRPr="00A976EF">
              <w:rPr>
                <w:rFonts w:ascii="Times New Roman" w:hAnsi="Times New Roman" w:cs="Times New Roman"/>
                <w:noProof/>
                <w:webHidden/>
              </w:rPr>
            </w:r>
            <w:r w:rsidRPr="00A976EF">
              <w:rPr>
                <w:rFonts w:ascii="Times New Roman" w:hAnsi="Times New Roman" w:cs="Times New Roman"/>
                <w:noProof/>
                <w:webHidden/>
              </w:rPr>
              <w:fldChar w:fldCharType="separate"/>
            </w:r>
            <w:r w:rsidRPr="00A976EF">
              <w:rPr>
                <w:rFonts w:ascii="Times New Roman" w:hAnsi="Times New Roman" w:cs="Times New Roman"/>
                <w:noProof/>
                <w:webHidden/>
              </w:rPr>
              <w:t>31</w:t>
            </w:r>
            <w:r w:rsidRPr="00A976EF">
              <w:rPr>
                <w:rFonts w:ascii="Times New Roman" w:hAnsi="Times New Roman" w:cs="Times New Roman"/>
                <w:noProof/>
                <w:webHidden/>
              </w:rPr>
              <w:fldChar w:fldCharType="end"/>
            </w:r>
          </w:hyperlink>
        </w:p>
        <w:p w14:paraId="2378585E" w14:textId="214DDC41" w:rsidR="00CE4707" w:rsidRPr="00A976EF" w:rsidRDefault="00CE4707">
          <w:pPr>
            <w:rPr>
              <w:rFonts w:ascii="Times New Roman" w:hAnsi="Times New Roman" w:cs="Times New Roman"/>
            </w:rPr>
          </w:pPr>
          <w:r w:rsidRPr="00A976EF">
            <w:rPr>
              <w:rFonts w:ascii="Times New Roman" w:hAnsi="Times New Roman" w:cs="Times New Roman"/>
              <w:b/>
              <w:bCs/>
              <w:noProof/>
            </w:rPr>
            <w:fldChar w:fldCharType="end"/>
          </w:r>
        </w:p>
      </w:sdtContent>
    </w:sdt>
    <w:p w14:paraId="50C1594A" w14:textId="77777777" w:rsidR="0030785C" w:rsidRDefault="0030785C" w:rsidP="003F78D3">
      <w:pPr>
        <w:autoSpaceDE w:val="0"/>
        <w:autoSpaceDN w:val="0"/>
        <w:adjustRightInd w:val="0"/>
        <w:spacing w:after="0" w:line="360" w:lineRule="auto"/>
        <w:rPr>
          <w:rFonts w:ascii="Times New Roman" w:hAnsi="Times New Roman" w:cs="Times New Roman"/>
          <w:color w:val="000000"/>
          <w:sz w:val="22"/>
          <w:szCs w:val="22"/>
        </w:rPr>
      </w:pPr>
    </w:p>
    <w:p w14:paraId="637DB958" w14:textId="77777777" w:rsidR="0030785C" w:rsidRDefault="0030785C">
      <w:pPr>
        <w:rPr>
          <w:rFonts w:ascii="Times New Roman" w:hAnsi="Times New Roman" w:cs="Times New Roman"/>
          <w:color w:val="000000"/>
          <w:sz w:val="22"/>
          <w:szCs w:val="22"/>
        </w:rPr>
      </w:pPr>
      <w:r>
        <w:rPr>
          <w:rFonts w:ascii="Times New Roman" w:hAnsi="Times New Roman" w:cs="Times New Roman"/>
          <w:color w:val="000000"/>
          <w:sz w:val="22"/>
          <w:szCs w:val="22"/>
        </w:rPr>
        <w:br w:type="page"/>
      </w:r>
    </w:p>
    <w:p w14:paraId="5D371F71" w14:textId="483F3611" w:rsidR="0030785C" w:rsidRPr="0030785C" w:rsidRDefault="0030785C" w:rsidP="0061433C">
      <w:pPr>
        <w:pStyle w:val="Heading1"/>
        <w:numPr>
          <w:ilvl w:val="0"/>
          <w:numId w:val="30"/>
        </w:numPr>
      </w:pPr>
      <w:bookmarkStart w:id="0" w:name="_Toc227839907"/>
      <w:r w:rsidRPr="0030785C">
        <w:lastRenderedPageBreak/>
        <w:t>Abstract</w:t>
      </w:r>
      <w:bookmarkEnd w:id="0"/>
    </w:p>
    <w:p w14:paraId="4CD38BF7" w14:textId="77777777" w:rsidR="00972B67" w:rsidRDefault="00972B67" w:rsidP="00972B67">
      <w:pPr>
        <w:pStyle w:val="font-claude-response-body"/>
        <w:rPr>
          <w:color w:val="000000"/>
        </w:rPr>
      </w:pPr>
      <w:r>
        <w:rPr>
          <w:color w:val="000000"/>
        </w:rPr>
        <w:t xml:space="preserve">One paragraph under 100 words covering: question, data (UKMPESD, FTSE 250, 1997–2025), method (local projections with </w:t>
      </w:r>
      <w:proofErr w:type="spellStart"/>
      <w:r>
        <w:rPr>
          <w:color w:val="000000"/>
        </w:rPr>
        <w:t>pos</w:t>
      </w:r>
      <w:proofErr w:type="spellEnd"/>
      <w:r>
        <w:rPr>
          <w:color w:val="000000"/>
        </w:rPr>
        <w:t>/neg shock decomposition), headline finding (Target-shock asymmetry; both tightening and easing produce negative responses, consistent with information effects; Path/QE weak), and scope limit.</w:t>
      </w:r>
    </w:p>
    <w:p w14:paraId="6AAD535A" w14:textId="77777777" w:rsidR="00972B67" w:rsidRDefault="00972B67" w:rsidP="00972B67">
      <w:pPr>
        <w:pStyle w:val="font-claude-response-body"/>
        <w:rPr>
          <w:color w:val="000000"/>
        </w:rPr>
      </w:pPr>
      <w:r>
        <w:rPr>
          <w:color w:val="000000"/>
        </w:rPr>
        <w:t>Then: at least 4 keywords (suggested —</w:t>
      </w:r>
      <w:r>
        <w:rPr>
          <w:rStyle w:val="apple-converted-space"/>
          <w:color w:val="000000"/>
        </w:rPr>
        <w:t> </w:t>
      </w:r>
      <w:r>
        <w:rPr>
          <w:rStyle w:val="Emphasis"/>
          <w:color w:val="000000"/>
        </w:rPr>
        <w:t>Monetary policy shocks; Local projections; Asymmetric responses; UK equity markets; Central bank information effects</w:t>
      </w:r>
      <w:r>
        <w:rPr>
          <w:color w:val="000000"/>
        </w:rPr>
        <w:t>), funding statement (required, even if "This research received no external funding"), and acknowledgements if applicable.</w:t>
      </w:r>
    </w:p>
    <w:p w14:paraId="324217DE" w14:textId="4DEDC8EF" w:rsidR="0030785C" w:rsidRPr="0030785C" w:rsidRDefault="0030785C">
      <w:pPr>
        <w:rPr>
          <w:rFonts w:ascii="Times New Roman" w:hAnsi="Times New Roman" w:cs="Times New Roman"/>
          <w:color w:val="000000"/>
          <w:sz w:val="22"/>
          <w:szCs w:val="22"/>
        </w:rPr>
      </w:pPr>
      <w:r w:rsidRPr="0030785C">
        <w:rPr>
          <w:rFonts w:ascii="Times New Roman" w:hAnsi="Times New Roman" w:cs="Times New Roman"/>
          <w:color w:val="000000"/>
          <w:sz w:val="22"/>
          <w:szCs w:val="22"/>
        </w:rPr>
        <w:br w:type="page"/>
      </w:r>
    </w:p>
    <w:p w14:paraId="55678390" w14:textId="2394D296" w:rsidR="00A96C4F" w:rsidRPr="00A96C4F" w:rsidRDefault="0030785C" w:rsidP="0061433C">
      <w:pPr>
        <w:pStyle w:val="Heading1"/>
        <w:numPr>
          <w:ilvl w:val="0"/>
          <w:numId w:val="30"/>
        </w:numPr>
      </w:pPr>
      <w:bookmarkStart w:id="1" w:name="_Toc227839908"/>
      <w:r w:rsidRPr="00A96C4F">
        <w:lastRenderedPageBreak/>
        <w:t>Introduction: 2</w:t>
      </w:r>
      <w:r w:rsidR="00972B67">
        <w:t>.5 pages</w:t>
      </w:r>
      <w:bookmarkEnd w:id="1"/>
    </w:p>
    <w:p w14:paraId="3A4D5C2A" w14:textId="77777777" w:rsidR="00A96C4F" w:rsidRDefault="00A96C4F" w:rsidP="00A96C4F">
      <w:pPr>
        <w:pStyle w:val="font-claude-response-body"/>
        <w:rPr>
          <w:color w:val="000000"/>
        </w:rPr>
      </w:pPr>
      <w:r>
        <w:rPr>
          <w:color w:val="000000"/>
        </w:rPr>
        <w:t>This is where the framing is introduced. Place it in the "approach" movement, after you've stated the research question and before you preview results. Write it out as continuous prose rather than a bulleted list — dissertations read better without lists in the introduction.</w:t>
      </w:r>
    </w:p>
    <w:p w14:paraId="44D595E4" w14:textId="77777777" w:rsidR="00A96C4F" w:rsidRDefault="00A96C4F" w:rsidP="00A96C4F">
      <w:pPr>
        <w:pStyle w:val="font-claude-response-body"/>
        <w:rPr>
          <w:color w:val="000000"/>
        </w:rPr>
      </w:pPr>
      <w:r>
        <w:rPr>
          <w:color w:val="000000"/>
        </w:rPr>
        <w:t>Something like:</w:t>
      </w:r>
      <w:r>
        <w:rPr>
          <w:rStyle w:val="apple-converted-space"/>
          <w:color w:val="000000"/>
        </w:rPr>
        <w:t> </w:t>
      </w:r>
      <w:r>
        <w:rPr>
          <w:rStyle w:val="Emphasis"/>
          <w:color w:val="000000"/>
        </w:rPr>
        <w:t>"The central question is whether UK equity responses to BoE monetary policy surprises differ between tightening and easing. I test this along three axes: whether the asymmetry depends on the type of policy surprise (Target, Path, or QE), on the horizon at which equity responses are measured (from impact through 20 trading days), and on the monetary regime in which the shock occurs (pre- and post-QE, post-Super Thursday, COVID, and QT)."</w:t>
      </w:r>
    </w:p>
    <w:p w14:paraId="50E4357A" w14:textId="77777777" w:rsidR="00A96C4F" w:rsidRDefault="00A96C4F" w:rsidP="00A96C4F">
      <w:pPr>
        <w:pStyle w:val="font-claude-response-body"/>
        <w:rPr>
          <w:color w:val="000000"/>
        </w:rPr>
      </w:pPr>
      <w:r>
        <w:rPr>
          <w:color w:val="000000"/>
        </w:rPr>
        <w:t>That sentence does a lot of structural work for two lines of prose. The examiner now knows exactly what the dissertation will do.</w:t>
      </w:r>
    </w:p>
    <w:p w14:paraId="13557E60" w14:textId="77777777" w:rsidR="00972B67" w:rsidRDefault="00972B67" w:rsidP="00A96C4F">
      <w:pPr>
        <w:pStyle w:val="font-claude-response-body"/>
        <w:rPr>
          <w:color w:val="000000"/>
        </w:rPr>
      </w:pPr>
    </w:p>
    <w:p w14:paraId="41788462" w14:textId="77777777" w:rsidR="00972B67" w:rsidRDefault="00972B67" w:rsidP="00972B67">
      <w:pPr>
        <w:pStyle w:val="font-claude-response-body"/>
        <w:rPr>
          <w:color w:val="000000"/>
        </w:rPr>
      </w:pPr>
      <w:r>
        <w:rPr>
          <w:rStyle w:val="Strong"/>
          <w:color w:val="000000"/>
        </w:rPr>
        <w:t>Argument the section must make:</w:t>
      </w:r>
      <w:r>
        <w:rPr>
          <w:rStyle w:val="apple-converted-space"/>
          <w:color w:val="000000"/>
        </w:rPr>
        <w:t> </w:t>
      </w:r>
      <w:r>
        <w:rPr>
          <w:color w:val="000000"/>
        </w:rPr>
        <w:t>"UK equity responses to BoE monetary policy are not symmetric, the asymmetry is concentrated in Target shocks, and the direction of the easing response suggests information effects rather than a simple risk-premium story."</w:t>
      </w:r>
    </w:p>
    <w:p w14:paraId="477B7CD7" w14:textId="77777777" w:rsidR="00972B67" w:rsidRDefault="00972B67" w:rsidP="00972B67">
      <w:pPr>
        <w:pStyle w:val="font-claude-response-body"/>
        <w:rPr>
          <w:color w:val="000000"/>
        </w:rPr>
      </w:pPr>
      <w:r>
        <w:rPr>
          <w:color w:val="000000"/>
        </w:rPr>
        <w:t>Structure as four short movements, not subsections:</w:t>
      </w:r>
    </w:p>
    <w:p w14:paraId="67712AC1" w14:textId="77777777" w:rsidR="00972B67" w:rsidRDefault="00972B67" w:rsidP="00972B67">
      <w:pPr>
        <w:pStyle w:val="whitespace-normal"/>
        <w:numPr>
          <w:ilvl w:val="0"/>
          <w:numId w:val="29"/>
        </w:numPr>
        <w:rPr>
          <w:color w:val="000000"/>
        </w:rPr>
      </w:pPr>
      <w:r>
        <w:rPr>
          <w:rStyle w:val="Strong"/>
          <w:color w:val="000000"/>
        </w:rPr>
        <w:t>Motivation</w:t>
      </w:r>
      <w:r>
        <w:rPr>
          <w:rStyle w:val="apple-converted-space"/>
          <w:color w:val="000000"/>
        </w:rPr>
        <w:t> </w:t>
      </w:r>
      <w:r>
        <w:rPr>
          <w:color w:val="000000"/>
        </w:rPr>
        <w:t>(~0.5 pp). Why monetary transmission to equities matters for the UK specifically; why post-2009 UK is an interesting laboratory (QE, forward guidance, Super Thursday, COVID, QT). Avoid generic "monetary policy is important" openings.</w:t>
      </w:r>
    </w:p>
    <w:p w14:paraId="7B822878" w14:textId="77777777" w:rsidR="00972B67" w:rsidRDefault="00972B67" w:rsidP="00972B67">
      <w:pPr>
        <w:pStyle w:val="whitespace-normal"/>
        <w:numPr>
          <w:ilvl w:val="0"/>
          <w:numId w:val="29"/>
        </w:numPr>
        <w:rPr>
          <w:color w:val="000000"/>
        </w:rPr>
      </w:pPr>
      <w:r>
        <w:rPr>
          <w:rStyle w:val="Strong"/>
          <w:color w:val="000000"/>
        </w:rPr>
        <w:t>Gap and question</w:t>
      </w:r>
      <w:r>
        <w:rPr>
          <w:rStyle w:val="apple-converted-space"/>
          <w:color w:val="000000"/>
        </w:rPr>
        <w:t> </w:t>
      </w:r>
      <w:r>
        <w:rPr>
          <w:color w:val="000000"/>
        </w:rPr>
        <w:t>(~0.5 pp). Most US/euro-area work uses symmetric specifications or focuses on one shock type; UK-specific asymmetric evidence across Target/Path/QE is thin. State the research question in one sentence.</w:t>
      </w:r>
    </w:p>
    <w:p w14:paraId="4B57752F" w14:textId="77777777" w:rsidR="00972B67" w:rsidRDefault="00972B67" w:rsidP="00972B67">
      <w:pPr>
        <w:pStyle w:val="whitespace-normal"/>
        <w:numPr>
          <w:ilvl w:val="0"/>
          <w:numId w:val="29"/>
        </w:numPr>
        <w:rPr>
          <w:color w:val="000000"/>
        </w:rPr>
      </w:pPr>
      <w:r>
        <w:rPr>
          <w:rStyle w:val="Strong"/>
          <w:color w:val="000000"/>
        </w:rPr>
        <w:t>Approach</w:t>
      </w:r>
      <w:r>
        <w:rPr>
          <w:rStyle w:val="apple-converted-space"/>
          <w:color w:val="000000"/>
        </w:rPr>
        <w:t> </w:t>
      </w:r>
      <w:r>
        <w:rPr>
          <w:color w:val="000000"/>
        </w:rPr>
        <w:t>(~0.5 pp). One-paragraph summary of data (UKMPESD), identification (high-frequency surprises), method (LPs with positive/negative decomposition), and the sign convention (critical — explain once here that easing shocks are negative-valued, so a positive β on the negative-component implies a negative equity response to easing).</w:t>
      </w:r>
    </w:p>
    <w:p w14:paraId="753773FF" w14:textId="77777777" w:rsidR="00972B67" w:rsidRDefault="00972B67" w:rsidP="00972B67">
      <w:pPr>
        <w:pStyle w:val="whitespace-normal"/>
        <w:numPr>
          <w:ilvl w:val="0"/>
          <w:numId w:val="29"/>
        </w:numPr>
        <w:rPr>
          <w:color w:val="000000"/>
        </w:rPr>
      </w:pPr>
      <w:r>
        <w:rPr>
          <w:rStyle w:val="Strong"/>
          <w:color w:val="000000"/>
        </w:rPr>
        <w:t>Preview of results and contribution</w:t>
      </w:r>
      <w:r>
        <w:rPr>
          <w:rStyle w:val="apple-converted-space"/>
          <w:color w:val="000000"/>
        </w:rPr>
        <w:t> </w:t>
      </w:r>
      <w:r>
        <w:rPr>
          <w:color w:val="000000"/>
        </w:rPr>
        <w:t xml:space="preserve">(~0.5–0.75 pp). </w:t>
      </w:r>
      <w:proofErr w:type="gramStart"/>
      <w:r>
        <w:rPr>
          <w:color w:val="000000"/>
        </w:rPr>
        <w:t>Headline findings,</w:t>
      </w:r>
      <w:proofErr w:type="gramEnd"/>
      <w:r>
        <w:rPr>
          <w:color w:val="000000"/>
        </w:rPr>
        <w:t xml:space="preserve"> honestly stated. Three contributions: (i) first UK-focused asymmetric LP application using UKMPESD across all three shock factors, (ii) evidence consistent with information effects in easing episodes, (iii) regime analysis showing how transmission has evolved.</w:t>
      </w:r>
    </w:p>
    <w:p w14:paraId="6B69FB5D" w14:textId="77777777" w:rsidR="00972B67" w:rsidRDefault="00972B67" w:rsidP="00972B67">
      <w:pPr>
        <w:pStyle w:val="whitespace-normal"/>
        <w:numPr>
          <w:ilvl w:val="0"/>
          <w:numId w:val="29"/>
        </w:numPr>
        <w:rPr>
          <w:color w:val="000000"/>
        </w:rPr>
      </w:pPr>
      <w:r>
        <w:rPr>
          <w:rStyle w:val="Strong"/>
          <w:color w:val="000000"/>
        </w:rPr>
        <w:t>Roadmap</w:t>
      </w:r>
      <w:r>
        <w:rPr>
          <w:rStyle w:val="apple-converted-space"/>
          <w:color w:val="000000"/>
        </w:rPr>
        <w:t> </w:t>
      </w:r>
      <w:r>
        <w:rPr>
          <w:color w:val="000000"/>
        </w:rPr>
        <w:t>(~2 sentences).</w:t>
      </w:r>
    </w:p>
    <w:p w14:paraId="5BDD170B" w14:textId="77777777" w:rsidR="00972B67" w:rsidRDefault="00972B67" w:rsidP="00972B67">
      <w:pPr>
        <w:pStyle w:val="font-claude-response-body"/>
        <w:rPr>
          <w:color w:val="000000"/>
        </w:rPr>
      </w:pPr>
      <w:r>
        <w:rPr>
          <w:rStyle w:val="Strong"/>
          <w:color w:val="000000"/>
        </w:rPr>
        <w:t>Do not include:</w:t>
      </w:r>
      <w:r>
        <w:rPr>
          <w:rStyle w:val="apple-converted-space"/>
          <w:color w:val="000000"/>
        </w:rPr>
        <w:t> </w:t>
      </w:r>
      <w:r>
        <w:rPr>
          <w:color w:val="000000"/>
        </w:rPr>
        <w:t xml:space="preserve">literature citations beyond the 5–6 most essential (Jordà, Gürkaynak-Sack-Swanson, Swanson 2021, Braun et al. 2024, </w:t>
      </w:r>
      <w:proofErr w:type="spellStart"/>
      <w:r>
        <w:rPr>
          <w:color w:val="000000"/>
        </w:rPr>
        <w:t>Jarociński</w:t>
      </w:r>
      <w:proofErr w:type="spellEnd"/>
      <w:r>
        <w:rPr>
          <w:color w:val="000000"/>
        </w:rPr>
        <w:t>-Karadi 2020). Save the rest for Section 3.</w:t>
      </w:r>
    </w:p>
    <w:p w14:paraId="4BB82CE5" w14:textId="77777777" w:rsidR="0061433C" w:rsidRDefault="00972B67" w:rsidP="0061433C">
      <w:pPr>
        <w:pStyle w:val="font-claude-response-body"/>
        <w:rPr>
          <w:rStyle w:val="Strong"/>
          <w:color w:val="000000"/>
        </w:rPr>
      </w:pPr>
      <w:r>
        <w:rPr>
          <w:rStyle w:val="Strong"/>
          <w:color w:val="000000"/>
        </w:rPr>
        <w:t>No figures/tables.</w:t>
      </w:r>
    </w:p>
    <w:p w14:paraId="21855A4C" w14:textId="59D7ED51" w:rsidR="0030785C" w:rsidRPr="0061433C" w:rsidRDefault="0030785C" w:rsidP="0061433C">
      <w:pPr>
        <w:pStyle w:val="font-claude-response-body"/>
        <w:rPr>
          <w:color w:val="000000"/>
        </w:rPr>
      </w:pPr>
      <w:r>
        <w:rPr>
          <w:b/>
          <w:bCs/>
          <w:sz w:val="22"/>
          <w:szCs w:val="22"/>
        </w:rPr>
        <w:br w:type="page"/>
      </w:r>
    </w:p>
    <w:p w14:paraId="049C2D33" w14:textId="09938140" w:rsidR="0030785C" w:rsidRPr="0061433C" w:rsidRDefault="002159F0" w:rsidP="0061433C">
      <w:pPr>
        <w:pStyle w:val="Heading1"/>
        <w:numPr>
          <w:ilvl w:val="0"/>
          <w:numId w:val="30"/>
        </w:numPr>
      </w:pPr>
      <w:bookmarkStart w:id="2" w:name="_Toc227839909"/>
      <w:r w:rsidRPr="0061433C">
        <w:lastRenderedPageBreak/>
        <w:t xml:space="preserve">Literature </w:t>
      </w:r>
      <w:r w:rsidR="0030785C" w:rsidRPr="0061433C">
        <w:t xml:space="preserve">and </w:t>
      </w:r>
      <w:r w:rsidR="00EE2E42">
        <w:t xml:space="preserve">Institutional </w:t>
      </w:r>
      <w:r w:rsidR="0030785C" w:rsidRPr="0061433C">
        <w:t>Background – 3 pages</w:t>
      </w:r>
      <w:bookmarkEnd w:id="2"/>
    </w:p>
    <w:p w14:paraId="34F79E99" w14:textId="34BDA0C1" w:rsidR="00EE2E42" w:rsidRPr="00EE2E42" w:rsidRDefault="00EE2E42" w:rsidP="0061433C">
      <w:pPr>
        <w:pStyle w:val="font-claude-response-body"/>
        <w:rPr>
          <w:color w:val="000000"/>
          <w:sz w:val="22"/>
          <w:szCs w:val="22"/>
        </w:rPr>
      </w:pPr>
      <w:r w:rsidRPr="00EE2E42">
        <w:rPr>
          <w:color w:val="000000"/>
          <w:sz w:val="22"/>
          <w:szCs w:val="22"/>
        </w:rPr>
        <w:t>for each paragraph you draft in Section 3, ask yourself "what does this paragraph do for</w:t>
      </w:r>
      <w:r w:rsidRPr="00EE2E42">
        <w:rPr>
          <w:rStyle w:val="apple-converted-space"/>
          <w:color w:val="000000"/>
          <w:sz w:val="22"/>
          <w:szCs w:val="22"/>
        </w:rPr>
        <w:t> </w:t>
      </w:r>
      <w:r w:rsidRPr="00EE2E42">
        <w:rPr>
          <w:rStyle w:val="Emphasis"/>
          <w:color w:val="000000"/>
          <w:sz w:val="22"/>
          <w:szCs w:val="22"/>
        </w:rPr>
        <w:t>my</w:t>
      </w:r>
      <w:r w:rsidRPr="00EE2E42">
        <w:rPr>
          <w:rStyle w:val="apple-converted-space"/>
          <w:color w:val="000000"/>
          <w:sz w:val="22"/>
          <w:szCs w:val="22"/>
        </w:rPr>
        <w:t> </w:t>
      </w:r>
      <w:r w:rsidRPr="00EE2E42">
        <w:rPr>
          <w:color w:val="000000"/>
          <w:sz w:val="22"/>
          <w:szCs w:val="22"/>
        </w:rPr>
        <w:t>argument?" If the answer is "it explains what Braun et al. did," cut it or compress it. If the answer is "it sets up why my empirical question is interesting and non-trivial," keep it.</w:t>
      </w:r>
    </w:p>
    <w:p w14:paraId="6A86444B" w14:textId="604E3FEF" w:rsidR="0061433C" w:rsidRPr="00EE2E42" w:rsidRDefault="0061433C" w:rsidP="0061433C">
      <w:pPr>
        <w:pStyle w:val="font-claude-response-body"/>
        <w:rPr>
          <w:color w:val="000000"/>
          <w:sz w:val="22"/>
          <w:szCs w:val="22"/>
        </w:rPr>
      </w:pPr>
      <w:r w:rsidRPr="00EE2E42">
        <w:rPr>
          <w:color w:val="000000"/>
          <w:sz w:val="22"/>
          <w:szCs w:val="22"/>
        </w:rPr>
        <w:t>Structure as three subsections:</w:t>
      </w:r>
    </w:p>
    <w:p w14:paraId="3BF6EF93" w14:textId="77777777" w:rsidR="0061433C" w:rsidRDefault="0061433C" w:rsidP="0061433C">
      <w:pPr>
        <w:pStyle w:val="font-claude-response-body"/>
        <w:rPr>
          <w:color w:val="000000"/>
          <w:sz w:val="22"/>
          <w:szCs w:val="22"/>
        </w:rPr>
      </w:pPr>
      <w:r w:rsidRPr="00EE2E42">
        <w:rPr>
          <w:rStyle w:val="Strong"/>
          <w:color w:val="000000"/>
          <w:sz w:val="22"/>
          <w:szCs w:val="22"/>
        </w:rPr>
        <w:t>3.1 Identifying monetary policy shocks (~1 pp).</w:t>
      </w:r>
      <w:r w:rsidRPr="00EE2E42">
        <w:rPr>
          <w:rStyle w:val="apple-converted-space"/>
          <w:color w:val="000000"/>
          <w:sz w:val="22"/>
          <w:szCs w:val="22"/>
        </w:rPr>
        <w:t> </w:t>
      </w:r>
      <w:r w:rsidRPr="00EE2E42">
        <w:rPr>
          <w:color w:val="000000"/>
          <w:sz w:val="22"/>
          <w:szCs w:val="22"/>
        </w:rPr>
        <w:t>Kuttner (2001) → Gürkaynak, Sack, Swanson (2005) Target/Path decomposition → Swanson (2021) three-factor extension with LSAP → Braun, Miranda-Agrippino, Saha (2024) applying this to the UK. Position: your paper uses the UKMPESD factors directly; no novel</w:t>
      </w:r>
      <w:r w:rsidRPr="0061433C">
        <w:rPr>
          <w:color w:val="000000"/>
          <w:sz w:val="22"/>
          <w:szCs w:val="22"/>
        </w:rPr>
        <w:t xml:space="preserve"> identification claim.</w:t>
      </w:r>
    </w:p>
    <w:p w14:paraId="1340C077" w14:textId="77777777" w:rsidR="00EE2E42" w:rsidRDefault="00EE2E42" w:rsidP="00EE2E42">
      <w:pPr>
        <w:pStyle w:val="font-claude-response-body"/>
        <w:rPr>
          <w:color w:val="000000"/>
        </w:rPr>
      </w:pPr>
      <w:r>
        <w:rPr>
          <w:color w:val="000000"/>
        </w:rPr>
        <w:t>The Gürkaynak-Sack-Swanson → Swanson (2021) → Braun et al. (2024) conceptual arc belongs here. But keep it to the intellectual lineage level: GSS identified Target and Path factors; Swanson extended to three factors including LSAP; Braun et al. applied this to UK data.</w:t>
      </w:r>
    </w:p>
    <w:p w14:paraId="40509514" w14:textId="0E780861" w:rsidR="00EE2E42" w:rsidRDefault="00EE2E42" w:rsidP="0061433C">
      <w:pPr>
        <w:pStyle w:val="font-claude-response-body"/>
        <w:rPr>
          <w:color w:val="000000"/>
        </w:rPr>
      </w:pPr>
      <w:r>
        <w:rPr>
          <w:color w:val="000000"/>
        </w:rPr>
        <w:t>What does</w:t>
      </w:r>
      <w:r>
        <w:rPr>
          <w:rStyle w:val="apple-converted-space"/>
          <w:color w:val="000000"/>
        </w:rPr>
        <w:t> </w:t>
      </w:r>
      <w:r>
        <w:rPr>
          <w:rStyle w:val="Emphasis"/>
          <w:color w:val="000000"/>
        </w:rPr>
        <w:t>not</w:t>
      </w:r>
      <w:r>
        <w:rPr>
          <w:rStyle w:val="apple-converted-space"/>
          <w:color w:val="000000"/>
        </w:rPr>
        <w:t> </w:t>
      </w:r>
      <w:r>
        <w:rPr>
          <w:color w:val="000000"/>
        </w:rPr>
        <w:t>belong in Section 3.1: the specific instruments (four short sterling futures plus 2/5/10-year gilts), the identifying restrictions (Target loads on the shortest future; QE variance minimised pre-2009), the 30-minute windows, the 75-minute press conference windows, the Altavilla et al. (2019) median-quote convention. This is</w:t>
      </w:r>
      <w:r>
        <w:rPr>
          <w:rStyle w:val="apple-converted-space"/>
          <w:color w:val="000000"/>
        </w:rPr>
        <w:t> </w:t>
      </w:r>
      <w:r>
        <w:rPr>
          <w:rStyle w:val="Strong"/>
          <w:color w:val="000000"/>
        </w:rPr>
        <w:t>construction detail</w:t>
      </w:r>
      <w:r>
        <w:rPr>
          <w:color w:val="000000"/>
        </w:rPr>
        <w:t>, not literature positioning. It belongs in Section 4.1 where you describe the shock data.</w:t>
      </w:r>
    </w:p>
    <w:p w14:paraId="0F675BD1" w14:textId="4F80B5D4" w:rsidR="003A5570" w:rsidRDefault="003A5570" w:rsidP="003A55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Compare BoE with FED and ECB – BoE more transparent like ECB =&gt; Info effects more present than in FED</w:t>
      </w:r>
    </w:p>
    <w:p w14:paraId="4A696D58" w14:textId="68A954AD" w:rsidR="003A5570" w:rsidRPr="003A5570" w:rsidRDefault="003A5570" w:rsidP="003A55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 xml:space="preserve">Consistently, we find that like for the ECB, a little over half of the BOE surprises </w:t>
      </w:r>
      <w:proofErr w:type="gramStart"/>
      <w:r w:rsidRPr="008A676F">
        <w:rPr>
          <w:rFonts w:ascii="Times New Roman" w:hAnsi="Times New Roman"/>
          <w:color w:val="auto"/>
          <w:sz w:val="22"/>
          <w:szCs w:val="22"/>
        </w:rPr>
        <w:t>are</w:t>
      </w:r>
      <w:proofErr w:type="gramEnd"/>
      <w:r w:rsidRPr="008A676F">
        <w:rPr>
          <w:rFonts w:ascii="Times New Roman" w:hAnsi="Times New Roman"/>
          <w:color w:val="auto"/>
          <w:sz w:val="22"/>
          <w:szCs w:val="22"/>
        </w:rPr>
        <w:t xml:space="preserve"> classified as monetary policy events, with the share raising to 60% for Bank Rate announcements.</w:t>
      </w:r>
    </w:p>
    <w:p w14:paraId="212943CE" w14:textId="77777777" w:rsidR="00EE2E42" w:rsidRPr="0061433C" w:rsidRDefault="00EE2E42" w:rsidP="0061433C">
      <w:pPr>
        <w:pStyle w:val="font-claude-response-body"/>
        <w:rPr>
          <w:color w:val="000000"/>
          <w:sz w:val="22"/>
          <w:szCs w:val="22"/>
        </w:rPr>
      </w:pPr>
    </w:p>
    <w:p w14:paraId="0B51BDB0" w14:textId="77777777" w:rsidR="0061433C" w:rsidRDefault="0061433C" w:rsidP="0061433C">
      <w:pPr>
        <w:pStyle w:val="font-claude-response-body"/>
        <w:rPr>
          <w:color w:val="000000"/>
          <w:sz w:val="22"/>
          <w:szCs w:val="22"/>
        </w:rPr>
      </w:pPr>
      <w:r w:rsidRPr="0061433C">
        <w:rPr>
          <w:rStyle w:val="Strong"/>
          <w:color w:val="000000"/>
          <w:sz w:val="22"/>
          <w:szCs w:val="22"/>
        </w:rPr>
        <w:t>3.2 Asymmetric transmission and information effects (~1 pp).</w:t>
      </w:r>
      <w:r w:rsidRPr="0061433C">
        <w:rPr>
          <w:rStyle w:val="apple-converted-space"/>
          <w:color w:val="000000"/>
          <w:sz w:val="22"/>
          <w:szCs w:val="22"/>
        </w:rPr>
        <w:t> </w:t>
      </w:r>
      <w:proofErr w:type="spellStart"/>
      <w:r w:rsidRPr="0061433C">
        <w:rPr>
          <w:color w:val="000000"/>
          <w:sz w:val="22"/>
          <w:szCs w:val="22"/>
        </w:rPr>
        <w:t>Jarociński</w:t>
      </w:r>
      <w:proofErr w:type="spellEnd"/>
      <w:r w:rsidRPr="0061433C">
        <w:rPr>
          <w:color w:val="000000"/>
          <w:sz w:val="22"/>
          <w:szCs w:val="22"/>
        </w:rPr>
        <w:t xml:space="preserve"> and Karadi (2020) on central bank information effects — this is the interpretive anchor for your easing-hurts finding. Brief mention of Cloyne and </w:t>
      </w:r>
      <w:proofErr w:type="spellStart"/>
      <w:r w:rsidRPr="0061433C">
        <w:rPr>
          <w:color w:val="000000"/>
          <w:sz w:val="22"/>
          <w:szCs w:val="22"/>
        </w:rPr>
        <w:t>Hürtgen</w:t>
      </w:r>
      <w:proofErr w:type="spellEnd"/>
      <w:r w:rsidRPr="0061433C">
        <w:rPr>
          <w:color w:val="000000"/>
          <w:sz w:val="22"/>
          <w:szCs w:val="22"/>
        </w:rPr>
        <w:t xml:space="preserve"> (2016) and Miranda-Agrippino (2016) on UK transmission. Mention </w:t>
      </w:r>
      <w:proofErr w:type="spellStart"/>
      <w:r w:rsidRPr="0061433C">
        <w:rPr>
          <w:color w:val="000000"/>
          <w:sz w:val="22"/>
          <w:szCs w:val="22"/>
        </w:rPr>
        <w:t>Tenreyro</w:t>
      </w:r>
      <w:proofErr w:type="spellEnd"/>
      <w:r w:rsidRPr="0061433C">
        <w:rPr>
          <w:color w:val="000000"/>
          <w:sz w:val="22"/>
          <w:szCs w:val="22"/>
        </w:rPr>
        <w:t xml:space="preserve">–Thwaites-style asymmetry </w:t>
      </w:r>
      <w:proofErr w:type="gramStart"/>
      <w:r w:rsidRPr="0061433C">
        <w:rPr>
          <w:color w:val="000000"/>
          <w:sz w:val="22"/>
          <w:szCs w:val="22"/>
        </w:rPr>
        <w:t>work</w:t>
      </w:r>
      <w:proofErr w:type="gramEnd"/>
      <w:r w:rsidRPr="0061433C">
        <w:rPr>
          <w:color w:val="000000"/>
          <w:sz w:val="22"/>
          <w:szCs w:val="22"/>
        </w:rPr>
        <w:t xml:space="preserve"> briefly if you have space, but don't chase every asymmetry paper.</w:t>
      </w:r>
    </w:p>
    <w:p w14:paraId="50F1EDAF" w14:textId="77777777" w:rsidR="00605AD5" w:rsidRPr="0061433C" w:rsidRDefault="00605AD5" w:rsidP="0061433C">
      <w:pPr>
        <w:pStyle w:val="font-claude-response-body"/>
        <w:rPr>
          <w:color w:val="000000"/>
          <w:sz w:val="22"/>
          <w:szCs w:val="22"/>
        </w:rPr>
      </w:pPr>
    </w:p>
    <w:p w14:paraId="60BBA1AA" w14:textId="77777777" w:rsidR="0061433C" w:rsidRPr="0061433C" w:rsidRDefault="0061433C" w:rsidP="0061433C">
      <w:pPr>
        <w:spacing w:after="0" w:line="360" w:lineRule="auto"/>
        <w:rPr>
          <w:rFonts w:ascii="Times New Roman" w:hAnsi="Times New Roman" w:cs="Times New Roman"/>
          <w:kern w:val="0"/>
          <w:sz w:val="22"/>
          <w:szCs w:val="22"/>
        </w:rPr>
      </w:pPr>
      <w:r w:rsidRPr="0061433C">
        <w:rPr>
          <w:rFonts w:ascii="Times New Roman" w:hAnsi="Times New Roman" w:cs="Times New Roman"/>
          <w:kern w:val="0"/>
          <w:sz w:val="22"/>
          <w:szCs w:val="22"/>
          <w:u w:val="single"/>
        </w:rPr>
        <w:t xml:space="preserve">Intuition: </w:t>
      </w:r>
      <w:r w:rsidRPr="0061433C">
        <w:rPr>
          <w:rFonts w:ascii="Times New Roman" w:eastAsia="Times New Roman" w:hAnsi="Times New Roman" w:cs="Times New Roman"/>
          <w:color w:val="000000"/>
          <w:kern w:val="36"/>
          <w:sz w:val="22"/>
          <w:szCs w:val="22"/>
          <w:u w:val="single"/>
          <w:lang w:eastAsia="en-GB"/>
          <w14:ligatures w14:val="none"/>
        </w:rPr>
        <w:t>Why Might Asymmetry Exist?</w:t>
      </w:r>
    </w:p>
    <w:p w14:paraId="1935D5B2" w14:textId="77777777" w:rsidR="0061433C" w:rsidRPr="0061433C" w:rsidRDefault="0061433C" w:rsidP="0061433C">
      <w:p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Theoretically:</w:t>
      </w:r>
    </w:p>
    <w:p w14:paraId="4153C676"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Tightening increases discount rates → strong equity drop</w:t>
      </w:r>
    </w:p>
    <w:p w14:paraId="45F16A91"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Easing may signal bad macro outlook → weaker positive response</w:t>
      </w:r>
    </w:p>
    <w:p w14:paraId="59922460"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Risk premia channel may be nonlinear</w:t>
      </w:r>
    </w:p>
    <w:p w14:paraId="568A5FB3" w14:textId="77777777" w:rsidR="0061433C" w:rsidRPr="0061433C" w:rsidRDefault="0061433C" w:rsidP="0061433C">
      <w:pPr>
        <w:numPr>
          <w:ilvl w:val="0"/>
          <w:numId w:val="11"/>
        </w:numPr>
        <w:spacing w:after="0" w:line="360" w:lineRule="auto"/>
        <w:rPr>
          <w:rFonts w:ascii="Times New Roman" w:eastAsia="Times New Roman" w:hAnsi="Times New Roman" w:cs="Times New Roman"/>
          <w:color w:val="000000"/>
          <w:kern w:val="0"/>
          <w:sz w:val="22"/>
          <w:szCs w:val="22"/>
          <w:lang w:eastAsia="en-GB"/>
          <w14:ligatures w14:val="none"/>
        </w:rPr>
      </w:pPr>
      <w:r w:rsidRPr="0061433C">
        <w:rPr>
          <w:rFonts w:ascii="Times New Roman" w:eastAsia="Times New Roman" w:hAnsi="Times New Roman" w:cs="Times New Roman"/>
          <w:color w:val="000000"/>
          <w:kern w:val="0"/>
          <w:sz w:val="22"/>
          <w:szCs w:val="22"/>
          <w:lang w:eastAsia="en-GB"/>
          <w14:ligatures w14:val="none"/>
        </w:rPr>
        <w:t>ZLB may make easing less effective</w:t>
      </w:r>
    </w:p>
    <w:p w14:paraId="6C38F92A" w14:textId="1015E8F2" w:rsidR="0061433C" w:rsidRPr="0061433C" w:rsidRDefault="0061433C" w:rsidP="0061433C">
      <w:pPr>
        <w:spacing w:after="0" w:line="360" w:lineRule="auto"/>
        <w:rPr>
          <w:rFonts w:ascii="Times New Roman" w:eastAsia="Times New Roman" w:hAnsi="Times New Roman" w:cs="Times New Roman"/>
          <w:color w:val="000000"/>
          <w:kern w:val="0"/>
          <w:sz w:val="22"/>
          <w:szCs w:val="22"/>
          <w:lang w:eastAsia="en-GB"/>
          <w14:ligatures w14:val="none"/>
        </w:rPr>
      </w:pPr>
      <w:proofErr w:type="gramStart"/>
      <w:r w:rsidRPr="0061433C">
        <w:rPr>
          <w:rFonts w:ascii="Times New Roman" w:eastAsia="Times New Roman" w:hAnsi="Times New Roman" w:cs="Times New Roman"/>
          <w:color w:val="000000"/>
          <w:kern w:val="0"/>
          <w:sz w:val="22"/>
          <w:szCs w:val="22"/>
          <w:lang w:eastAsia="en-GB"/>
          <w14:ligatures w14:val="none"/>
        </w:rPr>
        <w:lastRenderedPageBreak/>
        <w:t>So</w:t>
      </w:r>
      <w:proofErr w:type="gramEnd"/>
      <w:r w:rsidRPr="0061433C">
        <w:rPr>
          <w:rFonts w:ascii="Times New Roman" w:eastAsia="Times New Roman" w:hAnsi="Times New Roman" w:cs="Times New Roman"/>
          <w:color w:val="000000"/>
          <w:kern w:val="0"/>
          <w:sz w:val="22"/>
          <w:szCs w:val="22"/>
          <w:lang w:eastAsia="en-GB"/>
          <w14:ligatures w14:val="none"/>
        </w:rPr>
        <w:t xml:space="preserve"> you have strong economic motivation.</w:t>
      </w:r>
    </w:p>
    <w:p w14:paraId="4969F6EA" w14:textId="05D68076" w:rsidR="0061433C" w:rsidRPr="0061433C" w:rsidRDefault="0061433C" w:rsidP="0061433C">
      <w:pPr>
        <w:pStyle w:val="font-claude-response-body"/>
        <w:rPr>
          <w:color w:val="000000"/>
          <w:sz w:val="22"/>
          <w:szCs w:val="22"/>
        </w:rPr>
      </w:pPr>
      <w:r w:rsidRPr="0061433C">
        <w:rPr>
          <w:color w:val="000000"/>
          <w:sz w:val="22"/>
          <w:szCs w:val="22"/>
        </w:rPr>
        <w:t>Structure it as a short theoretical preamble before the empirical-asymmetry literature:</w:t>
      </w:r>
      <w:r w:rsidRPr="0061433C">
        <w:rPr>
          <w:rStyle w:val="apple-converted-space"/>
          <w:color w:val="000000"/>
          <w:sz w:val="22"/>
          <w:szCs w:val="22"/>
        </w:rPr>
        <w:t> </w:t>
      </w:r>
      <w:r w:rsidRPr="0061433C">
        <w:rPr>
          <w:rStyle w:val="Emphasis"/>
          <w:color w:val="000000"/>
          <w:sz w:val="22"/>
          <w:szCs w:val="22"/>
        </w:rPr>
        <w:t>"Several mechanisms predict that equity responses to monetary tightening and easing need not be symmetric. First, [discount rate channel]. Second, [information effect / bad macro outlook]. Third, [risk premia nonlinearity]. Fourth, [ZLB constraint on easing effectiveness]."</w:t>
      </w:r>
      <w:r w:rsidRPr="0061433C">
        <w:rPr>
          <w:rStyle w:val="apple-converted-space"/>
          <w:color w:val="000000"/>
          <w:sz w:val="22"/>
          <w:szCs w:val="22"/>
        </w:rPr>
        <w:t> </w:t>
      </w:r>
      <w:r w:rsidRPr="0061433C">
        <w:rPr>
          <w:color w:val="000000"/>
          <w:sz w:val="22"/>
          <w:szCs w:val="22"/>
        </w:rPr>
        <w:t>Then cite the relevant papers — Bernanke-Kuttner (2005) on the discount/risk-premium decomposition fits here, Jarociński-Karadi for the information channel, and anything you have on ZLB/unconventional-policy effectiveness.</w:t>
      </w:r>
    </w:p>
    <w:p w14:paraId="3BE7A3F3" w14:textId="77777777" w:rsidR="0061433C" w:rsidRPr="0061433C" w:rsidRDefault="0061433C" w:rsidP="0061433C">
      <w:pPr>
        <w:pStyle w:val="font-claude-response-body"/>
        <w:rPr>
          <w:color w:val="000000"/>
          <w:sz w:val="22"/>
          <w:szCs w:val="22"/>
        </w:rPr>
      </w:pPr>
      <w:r w:rsidRPr="0061433C">
        <w:rPr>
          <w:color w:val="000000"/>
          <w:sz w:val="22"/>
          <w:szCs w:val="22"/>
        </w:rPr>
        <w:t>Your fourth point — "ZLB may make easing less effective" — is worth handling carefully. The UK was at or near the effective lower bound for much of your post-2009 sample, which is directly relevant to your Path and QE findings (unconventional policy exists partly</w:t>
      </w:r>
      <w:r w:rsidRPr="0061433C">
        <w:rPr>
          <w:rStyle w:val="apple-converted-space"/>
          <w:color w:val="000000"/>
          <w:sz w:val="22"/>
          <w:szCs w:val="22"/>
        </w:rPr>
        <w:t> </w:t>
      </w:r>
      <w:r w:rsidRPr="0061433C">
        <w:rPr>
          <w:rStyle w:val="Emphasis"/>
          <w:color w:val="000000"/>
          <w:sz w:val="22"/>
          <w:szCs w:val="22"/>
        </w:rPr>
        <w:t>because</w:t>
      </w:r>
      <w:r w:rsidRPr="0061433C">
        <w:rPr>
          <w:rStyle w:val="apple-converted-space"/>
          <w:color w:val="000000"/>
          <w:sz w:val="22"/>
          <w:szCs w:val="22"/>
        </w:rPr>
        <w:t> </w:t>
      </w:r>
      <w:r w:rsidRPr="0061433C">
        <w:rPr>
          <w:color w:val="000000"/>
          <w:sz w:val="22"/>
          <w:szCs w:val="22"/>
        </w:rPr>
        <w:t>conventional easing was constrained). When you write Section 3.2, tie the ZLB mechanism explicitly to why Path and QE shocks are the instruments being studied at all. That gives the four mechanisms a direct line into your empirical design rather than leaving them as a disconnected theoretical list.</w:t>
      </w:r>
    </w:p>
    <w:p w14:paraId="40896B62" w14:textId="77777777" w:rsidR="0061433C" w:rsidRDefault="0061433C" w:rsidP="0061433C">
      <w:pPr>
        <w:pStyle w:val="font-claude-response-body"/>
        <w:rPr>
          <w:color w:val="000000"/>
          <w:sz w:val="22"/>
          <w:szCs w:val="22"/>
        </w:rPr>
      </w:pPr>
      <w:r w:rsidRPr="0061433C">
        <w:rPr>
          <w:color w:val="000000"/>
          <w:sz w:val="22"/>
          <w:szCs w:val="22"/>
        </w:rPr>
        <w:t>Your second point — "easing may signal bad macro outlook" — is the headline mechanism for your main finding. Make sure it gets the most space of the four, because it's the interpretive anchor for the easing-hurts result. The other three are scene-setting; this one is doing real work in your dissertation.</w:t>
      </w:r>
    </w:p>
    <w:p w14:paraId="1885E436" w14:textId="5567A8AB" w:rsidR="00EE2E42" w:rsidRDefault="00605AD5" w:rsidP="00EE2E42">
      <w:pPr>
        <w:pStyle w:val="font-claude-response-body"/>
        <w:rPr>
          <w:rStyle w:val="bzpyqfadein"/>
          <w:sz w:val="22"/>
          <w:szCs w:val="22"/>
        </w:rPr>
      </w:pPr>
      <w:r w:rsidRPr="008A676F">
        <w:rPr>
          <w:rStyle w:val="bzpyqfadein"/>
          <w:sz w:val="22"/>
          <w:szCs w:val="22"/>
        </w:rPr>
        <w:t>Information</w:t>
      </w:r>
      <w:r w:rsidRPr="008A676F">
        <w:rPr>
          <w:rStyle w:val="apple-converted-space"/>
          <w:sz w:val="22"/>
          <w:szCs w:val="22"/>
        </w:rPr>
        <w:t xml:space="preserve"> </w:t>
      </w:r>
      <w:r w:rsidRPr="008A676F">
        <w:rPr>
          <w:rStyle w:val="bzpyqfadein"/>
          <w:sz w:val="22"/>
          <w:szCs w:val="22"/>
        </w:rPr>
        <w:t>effects</w:t>
      </w:r>
      <w:r w:rsidRPr="008A676F">
        <w:rPr>
          <w:rStyle w:val="apple-converted-space"/>
          <w:sz w:val="22"/>
          <w:szCs w:val="22"/>
        </w:rPr>
        <w:t xml:space="preserve"> </w:t>
      </w:r>
      <w:r w:rsidRPr="008A676F">
        <w:rPr>
          <w:rStyle w:val="bzpyqfadein"/>
          <w:sz w:val="22"/>
          <w:szCs w:val="22"/>
        </w:rPr>
        <w:t>occur</w:t>
      </w:r>
      <w:r w:rsidRPr="008A676F">
        <w:rPr>
          <w:rStyle w:val="apple-converted-space"/>
          <w:sz w:val="22"/>
          <w:szCs w:val="22"/>
        </w:rPr>
        <w:t xml:space="preserve"> </w:t>
      </w:r>
      <w:r w:rsidRPr="008A676F">
        <w:rPr>
          <w:rStyle w:val="bzpyqfadein"/>
          <w:sz w:val="22"/>
          <w:szCs w:val="22"/>
        </w:rPr>
        <w:t>when</w:t>
      </w:r>
      <w:r w:rsidRPr="008A676F">
        <w:rPr>
          <w:rStyle w:val="apple-converted-space"/>
          <w:sz w:val="22"/>
          <w:szCs w:val="22"/>
        </w:rPr>
        <w:t xml:space="preserve"> </w:t>
      </w:r>
      <w:r w:rsidRPr="008A676F">
        <w:rPr>
          <w:rStyle w:val="bzpyqfadein"/>
          <w:sz w:val="22"/>
          <w:szCs w:val="22"/>
        </w:rPr>
        <w:t>central</w:t>
      </w:r>
      <w:r w:rsidRPr="008A676F">
        <w:rPr>
          <w:rStyle w:val="apple-converted-space"/>
          <w:sz w:val="22"/>
          <w:szCs w:val="22"/>
        </w:rPr>
        <w:t xml:space="preserve"> </w:t>
      </w:r>
      <w:r w:rsidRPr="008A676F">
        <w:rPr>
          <w:rStyle w:val="bzpyqfadein"/>
          <w:sz w:val="22"/>
          <w:szCs w:val="22"/>
        </w:rPr>
        <w:t>bank</w:t>
      </w:r>
      <w:r w:rsidRPr="008A676F">
        <w:rPr>
          <w:rStyle w:val="apple-converted-space"/>
          <w:sz w:val="22"/>
          <w:szCs w:val="22"/>
        </w:rPr>
        <w:t xml:space="preserve"> </w:t>
      </w:r>
      <w:r w:rsidRPr="008A676F">
        <w:rPr>
          <w:rStyle w:val="bzpyqfadein"/>
          <w:sz w:val="22"/>
          <w:szCs w:val="22"/>
        </w:rPr>
        <w:t>announcements</w:t>
      </w:r>
      <w:r w:rsidRPr="008A676F">
        <w:rPr>
          <w:rStyle w:val="apple-converted-space"/>
          <w:sz w:val="22"/>
          <w:szCs w:val="22"/>
        </w:rPr>
        <w:t xml:space="preserve"> </w:t>
      </w:r>
      <w:r w:rsidRPr="008A676F">
        <w:rPr>
          <w:rStyle w:val="bzpyqfadein"/>
          <w:sz w:val="22"/>
          <w:szCs w:val="22"/>
        </w:rPr>
        <w:t>reveal</w:t>
      </w:r>
      <w:r w:rsidRPr="008A676F">
        <w:rPr>
          <w:rStyle w:val="apple-converted-space"/>
          <w:sz w:val="22"/>
          <w:szCs w:val="22"/>
        </w:rPr>
        <w:t xml:space="preserve"> </w:t>
      </w:r>
      <w:r w:rsidRPr="008A676F">
        <w:rPr>
          <w:rStyle w:val="bzpyqfadein"/>
          <w:sz w:val="22"/>
          <w:szCs w:val="22"/>
        </w:rPr>
        <w:t>new</w:t>
      </w:r>
      <w:r w:rsidRPr="008A676F">
        <w:rPr>
          <w:rStyle w:val="apple-converted-space"/>
          <w:sz w:val="22"/>
          <w:szCs w:val="22"/>
        </w:rPr>
        <w:t xml:space="preserve"> </w:t>
      </w:r>
      <w:r w:rsidRPr="008A676F">
        <w:rPr>
          <w:rStyle w:val="bzpyqfadein"/>
          <w:sz w:val="22"/>
          <w:szCs w:val="22"/>
        </w:rPr>
        <w:t>information</w:t>
      </w:r>
      <w:r w:rsidRPr="008A676F">
        <w:rPr>
          <w:rStyle w:val="apple-converted-space"/>
          <w:sz w:val="22"/>
          <w:szCs w:val="22"/>
        </w:rPr>
        <w:t xml:space="preserve"> </w:t>
      </w:r>
      <w:r w:rsidRPr="008A676F">
        <w:rPr>
          <w:rStyle w:val="bzpyqfadein"/>
          <w:sz w:val="22"/>
          <w:szCs w:val="22"/>
        </w:rPr>
        <w:t>about</w:t>
      </w:r>
      <w:r w:rsidRPr="008A676F">
        <w:rPr>
          <w:rStyle w:val="apple-converted-space"/>
          <w:sz w:val="22"/>
          <w:szCs w:val="22"/>
        </w:rPr>
        <w:t xml:space="preserve"> </w:t>
      </w:r>
      <w:r w:rsidRPr="008A676F">
        <w:rPr>
          <w:rStyle w:val="bzpyqfadein"/>
          <w:sz w:val="22"/>
          <w:szCs w:val="22"/>
        </w:rPr>
        <w:t>the</w:t>
      </w:r>
      <w:r w:rsidRPr="008A676F">
        <w:rPr>
          <w:rStyle w:val="apple-converted-space"/>
          <w:sz w:val="22"/>
          <w:szCs w:val="22"/>
        </w:rPr>
        <w:t xml:space="preserve"> </w:t>
      </w:r>
      <w:r w:rsidRPr="008A676F">
        <w:rPr>
          <w:rStyle w:val="bzpyqfadein"/>
          <w:sz w:val="22"/>
          <w:szCs w:val="22"/>
        </w:rPr>
        <w:t>economy,</w:t>
      </w:r>
      <w:r w:rsidRPr="008A676F">
        <w:rPr>
          <w:rStyle w:val="apple-converted-space"/>
          <w:sz w:val="22"/>
          <w:szCs w:val="22"/>
        </w:rPr>
        <w:t xml:space="preserve"> </w:t>
      </w:r>
      <w:r w:rsidRPr="008A676F">
        <w:rPr>
          <w:rStyle w:val="bzpyqfadein"/>
          <w:sz w:val="22"/>
          <w:szCs w:val="22"/>
        </w:rPr>
        <w:t>causing</w:t>
      </w:r>
      <w:r w:rsidRPr="008A676F">
        <w:rPr>
          <w:rStyle w:val="apple-converted-space"/>
          <w:sz w:val="22"/>
          <w:szCs w:val="22"/>
        </w:rPr>
        <w:t xml:space="preserve"> </w:t>
      </w:r>
      <w:r w:rsidRPr="008A676F">
        <w:rPr>
          <w:rStyle w:val="bzpyqfadein"/>
          <w:sz w:val="22"/>
          <w:szCs w:val="22"/>
        </w:rPr>
        <w:t>stocks</w:t>
      </w:r>
      <w:r w:rsidRPr="008A676F">
        <w:rPr>
          <w:rStyle w:val="apple-converted-space"/>
          <w:sz w:val="22"/>
          <w:szCs w:val="22"/>
        </w:rPr>
        <w:t xml:space="preserve"> </w:t>
      </w:r>
      <w:r w:rsidRPr="008A676F">
        <w:rPr>
          <w:rStyle w:val="bzpyqfadein"/>
          <w:sz w:val="22"/>
          <w:szCs w:val="22"/>
        </w:rPr>
        <w:t>and</w:t>
      </w:r>
      <w:r w:rsidRPr="008A676F">
        <w:rPr>
          <w:rStyle w:val="apple-converted-space"/>
          <w:sz w:val="22"/>
          <w:szCs w:val="22"/>
        </w:rPr>
        <w:t xml:space="preserve"> </w:t>
      </w:r>
      <w:r w:rsidRPr="008A676F">
        <w:rPr>
          <w:rStyle w:val="bzpyqfadein"/>
          <w:sz w:val="22"/>
          <w:szCs w:val="22"/>
        </w:rPr>
        <w:t>yields</w:t>
      </w:r>
      <w:r w:rsidRPr="008A676F">
        <w:rPr>
          <w:rStyle w:val="apple-converted-space"/>
          <w:sz w:val="22"/>
          <w:szCs w:val="22"/>
        </w:rPr>
        <w:t xml:space="preserve"> t</w:t>
      </w:r>
      <w:r w:rsidRPr="008A676F">
        <w:rPr>
          <w:rStyle w:val="bzpyqfadein"/>
          <w:sz w:val="22"/>
          <w:szCs w:val="22"/>
        </w:rPr>
        <w:t>o</w:t>
      </w:r>
      <w:r w:rsidRPr="008A676F">
        <w:rPr>
          <w:rStyle w:val="apple-converted-space"/>
          <w:sz w:val="22"/>
          <w:szCs w:val="22"/>
        </w:rPr>
        <w:t xml:space="preserve"> </w:t>
      </w:r>
      <w:r w:rsidRPr="008A676F">
        <w:rPr>
          <w:rStyle w:val="bzpyqfadein"/>
          <w:sz w:val="22"/>
          <w:szCs w:val="22"/>
        </w:rPr>
        <w:t>move</w:t>
      </w:r>
      <w:r w:rsidRPr="008A676F">
        <w:rPr>
          <w:rStyle w:val="apple-converted-space"/>
          <w:sz w:val="22"/>
          <w:szCs w:val="22"/>
        </w:rPr>
        <w:t xml:space="preserve"> </w:t>
      </w:r>
      <w:r w:rsidRPr="008A676F">
        <w:rPr>
          <w:rStyle w:val="bzpyqfadein"/>
          <w:sz w:val="22"/>
          <w:szCs w:val="22"/>
        </w:rPr>
        <w:t>in</w:t>
      </w:r>
      <w:r w:rsidRPr="008A676F">
        <w:rPr>
          <w:rStyle w:val="apple-converted-space"/>
          <w:sz w:val="22"/>
          <w:szCs w:val="22"/>
        </w:rPr>
        <w:t xml:space="preserve"> </w:t>
      </w:r>
      <w:r w:rsidRPr="008A676F">
        <w:rPr>
          <w:rStyle w:val="bzpyqfadein"/>
          <w:sz w:val="22"/>
          <w:szCs w:val="22"/>
        </w:rPr>
        <w:t>the</w:t>
      </w:r>
      <w:r w:rsidRPr="008A676F">
        <w:rPr>
          <w:rStyle w:val="apple-converted-space"/>
          <w:sz w:val="22"/>
          <w:szCs w:val="22"/>
        </w:rPr>
        <w:t xml:space="preserve"> </w:t>
      </w:r>
      <w:r w:rsidRPr="008A676F">
        <w:rPr>
          <w:rStyle w:val="bzpyqfadein"/>
          <w:sz w:val="22"/>
          <w:szCs w:val="22"/>
        </w:rPr>
        <w:t>same</w:t>
      </w:r>
      <w:r w:rsidRPr="008A676F">
        <w:rPr>
          <w:rStyle w:val="apple-converted-space"/>
          <w:sz w:val="22"/>
          <w:szCs w:val="22"/>
        </w:rPr>
        <w:t xml:space="preserve"> </w:t>
      </w:r>
      <w:r w:rsidRPr="008A676F">
        <w:rPr>
          <w:rStyle w:val="bzpyqfadein"/>
          <w:sz w:val="22"/>
          <w:szCs w:val="22"/>
        </w:rPr>
        <w:t>direction,</w:t>
      </w:r>
      <w:r w:rsidRPr="008A676F">
        <w:rPr>
          <w:rStyle w:val="apple-converted-space"/>
          <w:sz w:val="22"/>
          <w:szCs w:val="22"/>
        </w:rPr>
        <w:t xml:space="preserve"> </w:t>
      </w:r>
      <w:r w:rsidRPr="008A676F">
        <w:rPr>
          <w:rStyle w:val="bzpyqfadein"/>
          <w:sz w:val="22"/>
          <w:szCs w:val="22"/>
        </w:rPr>
        <w:t>which</w:t>
      </w:r>
      <w:r w:rsidRPr="008A676F">
        <w:rPr>
          <w:rStyle w:val="apple-converted-space"/>
          <w:sz w:val="22"/>
          <w:szCs w:val="22"/>
        </w:rPr>
        <w:t xml:space="preserve"> </w:t>
      </w:r>
      <w:r w:rsidRPr="008A676F">
        <w:rPr>
          <w:rStyle w:val="bzpyqfadein"/>
          <w:sz w:val="22"/>
          <w:szCs w:val="22"/>
        </w:rPr>
        <w:t>contaminates</w:t>
      </w:r>
      <w:r w:rsidRPr="008A676F">
        <w:rPr>
          <w:rStyle w:val="apple-converted-space"/>
          <w:sz w:val="22"/>
          <w:szCs w:val="22"/>
        </w:rPr>
        <w:t xml:space="preserve"> </w:t>
      </w:r>
      <w:r w:rsidRPr="008A676F">
        <w:rPr>
          <w:rStyle w:val="bzpyqfadein"/>
          <w:sz w:val="22"/>
          <w:szCs w:val="22"/>
        </w:rPr>
        <w:t>identification</w:t>
      </w:r>
      <w:r w:rsidRPr="008A676F">
        <w:rPr>
          <w:rStyle w:val="apple-converted-space"/>
          <w:sz w:val="22"/>
          <w:szCs w:val="22"/>
        </w:rPr>
        <w:t xml:space="preserve"> </w:t>
      </w:r>
      <w:r w:rsidRPr="008A676F">
        <w:rPr>
          <w:rStyle w:val="bzpyqfadein"/>
          <w:sz w:val="22"/>
          <w:szCs w:val="22"/>
        </w:rPr>
        <w:t>of</w:t>
      </w:r>
      <w:r w:rsidRPr="008A676F">
        <w:rPr>
          <w:rStyle w:val="apple-converted-space"/>
          <w:sz w:val="22"/>
          <w:szCs w:val="22"/>
        </w:rPr>
        <w:t xml:space="preserve"> </w:t>
      </w:r>
      <w:r w:rsidRPr="008A676F">
        <w:rPr>
          <w:rStyle w:val="bzpyqfadein"/>
          <w:sz w:val="22"/>
          <w:szCs w:val="22"/>
        </w:rPr>
        <w:t>true</w:t>
      </w:r>
      <w:r w:rsidRPr="008A676F">
        <w:rPr>
          <w:rStyle w:val="apple-converted-space"/>
          <w:sz w:val="22"/>
          <w:szCs w:val="22"/>
        </w:rPr>
        <w:t xml:space="preserve"> </w:t>
      </w:r>
      <w:r w:rsidRPr="008A676F">
        <w:rPr>
          <w:rStyle w:val="bzpyqfadein"/>
          <w:sz w:val="22"/>
          <w:szCs w:val="22"/>
        </w:rPr>
        <w:t>monetary</w:t>
      </w:r>
      <w:r w:rsidRPr="008A676F">
        <w:rPr>
          <w:rStyle w:val="apple-converted-space"/>
          <w:sz w:val="22"/>
          <w:szCs w:val="22"/>
        </w:rPr>
        <w:t xml:space="preserve"> </w:t>
      </w:r>
      <w:r w:rsidRPr="008A676F">
        <w:rPr>
          <w:rStyle w:val="bzpyqfadein"/>
          <w:sz w:val="22"/>
          <w:szCs w:val="22"/>
        </w:rPr>
        <w:t>policy</w:t>
      </w:r>
      <w:r w:rsidRPr="008A676F">
        <w:rPr>
          <w:rStyle w:val="apple-converted-space"/>
          <w:sz w:val="22"/>
          <w:szCs w:val="22"/>
        </w:rPr>
        <w:t xml:space="preserve"> </w:t>
      </w:r>
      <w:r w:rsidRPr="008A676F">
        <w:rPr>
          <w:rStyle w:val="bzpyqfadein"/>
          <w:sz w:val="22"/>
          <w:szCs w:val="22"/>
        </w:rPr>
        <w:t>shocks</w:t>
      </w:r>
    </w:p>
    <w:p w14:paraId="0CE9511B" w14:textId="77777777" w:rsidR="00605AD5" w:rsidRDefault="00605AD5" w:rsidP="00EE2E42">
      <w:pPr>
        <w:pStyle w:val="font-claude-response-body"/>
        <w:rPr>
          <w:color w:val="000000"/>
        </w:rPr>
      </w:pPr>
    </w:p>
    <w:p w14:paraId="38C7E594" w14:textId="75109736" w:rsidR="00EE2E42" w:rsidRDefault="00EE2E42" w:rsidP="00EE2E42">
      <w:pPr>
        <w:pStyle w:val="font-claude-response-body"/>
        <w:rPr>
          <w:color w:val="000000"/>
        </w:rPr>
      </w:pPr>
      <w:r>
        <w:rPr>
          <w:color w:val="000000"/>
        </w:rPr>
        <w:t xml:space="preserve">The </w:t>
      </w:r>
      <w:proofErr w:type="spellStart"/>
      <w:r>
        <w:rPr>
          <w:color w:val="000000"/>
        </w:rPr>
        <w:t>Jarociński</w:t>
      </w:r>
      <w:proofErr w:type="spellEnd"/>
      <w:r>
        <w:rPr>
          <w:color w:val="000000"/>
        </w:rPr>
        <w:t xml:space="preserve">-Karadi passage you quoted is gold for this subsection — specifically the "easing surprise in OIS rates... can be accompanied by either positive or negative surprises in the stock market" framing. That's the clean statement of the information-effects mechanism and directly motivates your main finding. One paragraph adapting this framing, citing </w:t>
      </w:r>
      <w:proofErr w:type="spellStart"/>
      <w:r>
        <w:rPr>
          <w:color w:val="000000"/>
        </w:rPr>
        <w:t>Jarociński</w:t>
      </w:r>
      <w:proofErr w:type="spellEnd"/>
      <w:r>
        <w:rPr>
          <w:color w:val="000000"/>
        </w:rPr>
        <w:t xml:space="preserve"> and Karadi (2020), is exactly right.</w:t>
      </w:r>
    </w:p>
    <w:p w14:paraId="67BF42A5" w14:textId="77777777" w:rsidR="00EE2E42" w:rsidRDefault="00EE2E42" w:rsidP="00EE2E42">
      <w:pPr>
        <w:pStyle w:val="font-claude-response-body"/>
        <w:rPr>
          <w:color w:val="000000"/>
        </w:rPr>
      </w:pPr>
      <w:r>
        <w:rPr>
          <w:color w:val="000000"/>
        </w:rPr>
        <w:t>Do not include the full passage verbatim. Paraphrase the mechanism in one or two sentences.</w:t>
      </w:r>
    </w:p>
    <w:p w14:paraId="24BBF30B" w14:textId="77777777" w:rsidR="00EE2E42" w:rsidRPr="0061433C" w:rsidRDefault="00EE2E42" w:rsidP="0061433C">
      <w:pPr>
        <w:pStyle w:val="font-claude-response-body"/>
        <w:rPr>
          <w:color w:val="000000"/>
          <w:sz w:val="22"/>
          <w:szCs w:val="22"/>
        </w:rPr>
      </w:pPr>
    </w:p>
    <w:p w14:paraId="38FC1425" w14:textId="77777777" w:rsidR="0061433C" w:rsidRPr="0061433C" w:rsidRDefault="0061433C" w:rsidP="0061433C">
      <w:pPr>
        <w:pStyle w:val="font-claude-response-body"/>
        <w:rPr>
          <w:color w:val="000000"/>
          <w:sz w:val="22"/>
          <w:szCs w:val="22"/>
        </w:rPr>
      </w:pPr>
    </w:p>
    <w:p w14:paraId="59E6AFE6" w14:textId="77777777" w:rsidR="0061433C" w:rsidRDefault="0061433C" w:rsidP="0061433C">
      <w:pPr>
        <w:pStyle w:val="font-claude-response-body"/>
        <w:rPr>
          <w:color w:val="000000"/>
          <w:sz w:val="22"/>
          <w:szCs w:val="22"/>
        </w:rPr>
      </w:pPr>
      <w:r w:rsidRPr="0061433C">
        <w:rPr>
          <w:rStyle w:val="Strong"/>
          <w:color w:val="000000"/>
          <w:sz w:val="22"/>
          <w:szCs w:val="22"/>
        </w:rPr>
        <w:t>3.3 UK-specific context (~1 pp).</w:t>
      </w:r>
      <w:r w:rsidRPr="0061433C">
        <w:rPr>
          <w:rStyle w:val="apple-converted-space"/>
          <w:color w:val="000000"/>
          <w:sz w:val="22"/>
          <w:szCs w:val="22"/>
        </w:rPr>
        <w:t> </w:t>
      </w:r>
      <w:r w:rsidRPr="0061433C">
        <w:rPr>
          <w:color w:val="000000"/>
          <w:sz w:val="22"/>
          <w:szCs w:val="22"/>
        </w:rPr>
        <w:t xml:space="preserve">Institutional setting: MPC structure, QE programme timeline (March 2009), Super Thursday (August 2015), COVID-era policy, QT (2022). Cite </w:t>
      </w:r>
      <w:proofErr w:type="spellStart"/>
      <w:r w:rsidRPr="0061433C">
        <w:rPr>
          <w:color w:val="000000"/>
          <w:sz w:val="22"/>
          <w:szCs w:val="22"/>
        </w:rPr>
        <w:t>Cesa</w:t>
      </w:r>
      <w:proofErr w:type="spellEnd"/>
      <w:r w:rsidRPr="0061433C">
        <w:rPr>
          <w:color w:val="000000"/>
          <w:sz w:val="22"/>
          <w:szCs w:val="22"/>
        </w:rPr>
        <w:t>-Bianchi et al. (2020), Gerko and Rey (2017), Kaminska and Mumtaz (2022), Reeves and Sawicki (2005).</w:t>
      </w:r>
      <w:r w:rsidRPr="0061433C">
        <w:rPr>
          <w:rStyle w:val="apple-converted-space"/>
          <w:color w:val="000000"/>
          <w:sz w:val="22"/>
          <w:szCs w:val="22"/>
        </w:rPr>
        <w:t> </w:t>
      </w:r>
      <w:r w:rsidRPr="0061433C">
        <w:rPr>
          <w:rStyle w:val="Strong"/>
          <w:color w:val="000000"/>
          <w:sz w:val="22"/>
          <w:szCs w:val="22"/>
        </w:rPr>
        <w:t>Justify your regime break dates here, not in Results</w:t>
      </w:r>
      <w:r w:rsidRPr="0061433C">
        <w:rPr>
          <w:rStyle w:val="apple-converted-space"/>
          <w:color w:val="000000"/>
          <w:sz w:val="22"/>
          <w:szCs w:val="22"/>
        </w:rPr>
        <w:t> </w:t>
      </w:r>
      <w:r w:rsidRPr="0061433C">
        <w:rPr>
          <w:color w:val="000000"/>
          <w:sz w:val="22"/>
          <w:szCs w:val="22"/>
        </w:rPr>
        <w:t>— readers should already know why 2009-03-05 and 2015-08-06 matter by the time they reach the regime section.</w:t>
      </w:r>
    </w:p>
    <w:p w14:paraId="399B273F" w14:textId="3BA9066D" w:rsidR="0061433C" w:rsidRDefault="0061433C" w:rsidP="0061433C">
      <w:pPr>
        <w:pStyle w:val="font-claude-response-body"/>
        <w:rPr>
          <w:color w:val="000000"/>
          <w:sz w:val="22"/>
          <w:szCs w:val="22"/>
        </w:rPr>
      </w:pPr>
      <w:r w:rsidRPr="0021032C">
        <w:rPr>
          <w:noProof/>
          <w:sz w:val="22"/>
          <w:szCs w:val="22"/>
        </w:rPr>
        <w:lastRenderedPageBreak/>
        <w:drawing>
          <wp:inline distT="0" distB="0" distL="0" distR="0" wp14:anchorId="5E685F88" wp14:editId="6525DFBC">
            <wp:extent cx="1409075" cy="1269907"/>
            <wp:effectExtent l="0" t="0" r="635" b="635"/>
            <wp:docPr id="226421849"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49" name="Picture 2"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4519" cy="1292838"/>
                    </a:xfrm>
                    <a:prstGeom prst="rect">
                      <a:avLst/>
                    </a:prstGeom>
                  </pic:spPr>
                </pic:pic>
              </a:graphicData>
            </a:graphic>
          </wp:inline>
        </w:drawing>
      </w:r>
    </w:p>
    <w:p w14:paraId="47C0F25E" w14:textId="7151A0BA" w:rsidR="00EE2E42" w:rsidRDefault="00EE2E42" w:rsidP="00EE2E42">
      <w:pPr>
        <w:pStyle w:val="font-claude-response-body"/>
        <w:rPr>
          <w:color w:val="000000"/>
        </w:rPr>
      </w:pPr>
      <w:r>
        <w:rPr>
          <w:color w:val="000000"/>
        </w:rPr>
        <w:t>The institutional cycle material is perfect for this subsection</w:t>
      </w:r>
      <w:r>
        <w:rPr>
          <w:color w:val="000000"/>
        </w:rPr>
        <w:t xml:space="preserve"> (3.3)</w:t>
      </w:r>
      <w:r>
        <w:rPr>
          <w:color w:val="000000"/>
        </w:rPr>
        <w:t>. Specifically: BoE mandate (inflation targeting since 1997, 2.5% target until 2003 then 2% on CPI), MPC structure and voting, pre-2015 communication schedule (Inflation Report quarterly, two weeks after Bank Rate decision, press conference, minutes released two weeks later), August 2015 move to Super Thursday with six-week cycle and simultaneous release of decision/statement/minutes/MPR. This is exactly what Section 3.3 needs.</w:t>
      </w:r>
    </w:p>
    <w:p w14:paraId="501EE082" w14:textId="77777777" w:rsidR="00EE2E42" w:rsidRDefault="00EE2E42" w:rsidP="00EE2E42">
      <w:pPr>
        <w:pStyle w:val="font-claude-response-body"/>
        <w:rPr>
          <w:color w:val="000000"/>
        </w:rPr>
      </w:pPr>
      <w:r>
        <w:rPr>
          <w:color w:val="000000"/>
        </w:rPr>
        <w:t>One important point:</w:t>
      </w:r>
      <w:r>
        <w:rPr>
          <w:rStyle w:val="apple-converted-space"/>
          <w:color w:val="000000"/>
        </w:rPr>
        <w:t> </w:t>
      </w:r>
      <w:r>
        <w:rPr>
          <w:rStyle w:val="Strong"/>
          <w:color w:val="000000"/>
        </w:rPr>
        <w:t>this institutional material is where you justify your regime break dates</w:t>
      </w:r>
      <w:r>
        <w:rPr>
          <w:color w:val="000000"/>
        </w:rPr>
        <w:t>. The reader needs to know</w:t>
      </w:r>
      <w:r>
        <w:rPr>
          <w:rStyle w:val="apple-converted-space"/>
          <w:color w:val="000000"/>
        </w:rPr>
        <w:t> </w:t>
      </w:r>
      <w:r>
        <w:rPr>
          <w:rStyle w:val="Emphasis"/>
          <w:color w:val="000000"/>
        </w:rPr>
        <w:t>why</w:t>
      </w:r>
      <w:r>
        <w:rPr>
          <w:rStyle w:val="apple-converted-space"/>
          <w:color w:val="000000"/>
        </w:rPr>
        <w:t> </w:t>
      </w:r>
      <w:r>
        <w:rPr>
          <w:color w:val="000000"/>
        </w:rPr>
        <w:t xml:space="preserve">2015-08-06 is a break date — it's because communication structure changed materially. </w:t>
      </w:r>
      <w:proofErr w:type="gramStart"/>
      <w:r>
        <w:rPr>
          <w:color w:val="000000"/>
        </w:rPr>
        <w:t>Similarly</w:t>
      </w:r>
      <w:proofErr w:type="gramEnd"/>
      <w:r>
        <w:rPr>
          <w:color w:val="000000"/>
        </w:rPr>
        <w:t xml:space="preserve"> 2009-03-05 is the first QE announcement. Your regime splits become defensible choices rather than arbitrary dates once this context is in place. Spend the space on this.</w:t>
      </w:r>
    </w:p>
    <w:p w14:paraId="4B97B0CB" w14:textId="77777777" w:rsidR="00EE2E42" w:rsidRDefault="00EE2E42" w:rsidP="00EE2E42">
      <w:pPr>
        <w:pStyle w:val="font-claude-response-body"/>
        <w:rPr>
          <w:color w:val="000000"/>
        </w:rPr>
      </w:pPr>
      <w:r>
        <w:rPr>
          <w:color w:val="000000"/>
        </w:rPr>
        <w:t xml:space="preserve">Cite Cloyne and </w:t>
      </w:r>
      <w:proofErr w:type="spellStart"/>
      <w:r>
        <w:rPr>
          <w:color w:val="000000"/>
        </w:rPr>
        <w:t>Hürtgen</w:t>
      </w:r>
      <w:proofErr w:type="spellEnd"/>
      <w:r>
        <w:rPr>
          <w:color w:val="000000"/>
        </w:rPr>
        <w:t xml:space="preserve"> (2016) and Reeves and Sawicki (2005) here — they're the natural references for UK institutional history.</w:t>
      </w:r>
    </w:p>
    <w:p w14:paraId="43E1D5CB" w14:textId="77777777" w:rsidR="003A5570" w:rsidRDefault="003A5570" w:rsidP="00EE2E42">
      <w:pPr>
        <w:pStyle w:val="font-claude-response-body"/>
        <w:rPr>
          <w:color w:val="000000"/>
        </w:rPr>
      </w:pPr>
    </w:p>
    <w:p w14:paraId="33A5F3CC" w14:textId="77777777" w:rsidR="003A5570" w:rsidRPr="00972F1A" w:rsidRDefault="003A5570" w:rsidP="003A5570">
      <w:pPr>
        <w:spacing w:after="0" w:line="360" w:lineRule="auto"/>
        <w:rPr>
          <w:rFonts w:ascii="Times New Roman" w:hAnsi="Times New Roman" w:cs="Times New Roman"/>
          <w:kern w:val="0"/>
          <w:sz w:val="22"/>
          <w:szCs w:val="22"/>
          <w:u w:val="single"/>
        </w:rPr>
      </w:pPr>
      <w:r w:rsidRPr="00972F1A">
        <w:rPr>
          <w:rFonts w:ascii="Times New Roman" w:hAnsi="Times New Roman" w:cs="Times New Roman"/>
          <w:kern w:val="0"/>
          <w:sz w:val="22"/>
          <w:szCs w:val="22"/>
          <w:u w:val="single"/>
        </w:rPr>
        <w:t>2009 QE</w:t>
      </w:r>
    </w:p>
    <w:p w14:paraId="00869DE6" w14:textId="77777777" w:rsidR="003A5570" w:rsidRDefault="003A5570" w:rsidP="003A5570">
      <w:pPr>
        <w:spacing w:after="0" w:line="360" w:lineRule="auto"/>
        <w:rPr>
          <w:rFonts w:ascii="Times New Roman" w:hAnsi="Times New Roman" w:cs="Times New Roman"/>
          <w:sz w:val="22"/>
          <w:szCs w:val="22"/>
        </w:rPr>
      </w:pPr>
      <w:r w:rsidRPr="00972F1A">
        <w:rPr>
          <w:rStyle w:val="bzpyqfadein"/>
          <w:rFonts w:ascii="Times New Roman" w:hAnsi="Times New Roman" w:cs="Times New Roman"/>
          <w:b/>
          <w:bCs/>
          <w:sz w:val="22"/>
          <w:szCs w:val="22"/>
        </w:rPr>
        <w:t>Started:</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March 2009</w:t>
      </w:r>
      <w:r w:rsidRPr="00972F1A">
        <w:rPr>
          <w:rFonts w:ascii="Times New Roman" w:hAnsi="Times New Roman" w:cs="Times New Roman"/>
          <w:sz w:val="22"/>
          <w:szCs w:val="22"/>
        </w:rPr>
        <w:t xml:space="preserve"> </w:t>
      </w:r>
    </w:p>
    <w:p w14:paraId="47642A4A" w14:textId="77777777" w:rsidR="003A5570" w:rsidRPr="00972F1A" w:rsidRDefault="003A5570" w:rsidP="003A5570">
      <w:pPr>
        <w:spacing w:after="0" w:line="360" w:lineRule="auto"/>
        <w:rPr>
          <w:rStyle w:val="bzpyqfadein"/>
          <w:rFonts w:ascii="Times New Roman" w:hAnsi="Times New Roman" w:cs="Times New Roman"/>
          <w:b/>
          <w:bCs/>
          <w:sz w:val="22"/>
          <w:szCs w:val="22"/>
        </w:rPr>
      </w:pPr>
      <w:r w:rsidRPr="00972F1A">
        <w:rPr>
          <w:rStyle w:val="bzpyqfadein"/>
          <w:rFonts w:ascii="Times New Roman" w:hAnsi="Times New Roman" w:cs="Times New Roman"/>
          <w:b/>
          <w:bCs/>
          <w:sz w:val="22"/>
          <w:szCs w:val="22"/>
        </w:rPr>
        <w:t>Initial</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size: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£75</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billion</w:t>
      </w:r>
    </w:p>
    <w:p w14:paraId="68B73964" w14:textId="77777777" w:rsidR="003A5570" w:rsidRPr="00972F1A" w:rsidRDefault="003A5570" w:rsidP="003A5570">
      <w:pPr>
        <w:spacing w:after="0" w:line="360" w:lineRule="auto"/>
        <w:rPr>
          <w:rStyle w:val="bzpyqfadein"/>
          <w:rFonts w:ascii="Times New Roman" w:hAnsi="Times New Roman" w:cs="Times New Roman"/>
          <w:kern w:val="0"/>
          <w:sz w:val="22"/>
          <w:szCs w:val="22"/>
          <w:u w:val="single"/>
        </w:rPr>
      </w:pPr>
      <w:r w:rsidRPr="00972F1A">
        <w:rPr>
          <w:rStyle w:val="bzpyqfadein"/>
          <w:rFonts w:ascii="Times New Roman" w:hAnsi="Times New Roman" w:cs="Times New Roman"/>
          <w:b/>
          <w:bCs/>
          <w:sz w:val="22"/>
          <w:szCs w:val="22"/>
        </w:rPr>
        <w:t>Policy</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rate</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at</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the</w:t>
      </w:r>
      <w:r w:rsidRPr="00972F1A">
        <w:rPr>
          <w:rStyle w:val="apple-converted-space"/>
          <w:rFonts w:ascii="Times New Roman" w:hAnsi="Times New Roman" w:cs="Times New Roman"/>
          <w:b/>
          <w:bCs/>
          <w:sz w:val="22"/>
          <w:szCs w:val="22"/>
        </w:rPr>
        <w:t> </w:t>
      </w:r>
      <w:r w:rsidRPr="00972F1A">
        <w:rPr>
          <w:rStyle w:val="bzpyqfadein"/>
          <w:rFonts w:ascii="Times New Roman" w:hAnsi="Times New Roman" w:cs="Times New Roman"/>
          <w:b/>
          <w:bCs/>
          <w:sz w:val="22"/>
          <w:szCs w:val="22"/>
        </w:rPr>
        <w:t>time: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0.5% (effective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lower</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bound)</w:t>
      </w:r>
    </w:p>
    <w:p w14:paraId="582194D5" w14:textId="77777777" w:rsidR="003A5570" w:rsidRDefault="003A5570" w:rsidP="003A5570">
      <w:pPr>
        <w:spacing w:after="0" w:line="360" w:lineRule="auto"/>
        <w:rPr>
          <w:rStyle w:val="bzpyqfadein"/>
          <w:rFonts w:ascii="Times New Roman" w:hAnsi="Times New Roman" w:cs="Times New Roman"/>
          <w:sz w:val="22"/>
          <w:szCs w:val="22"/>
        </w:rPr>
      </w:pPr>
      <w:r w:rsidRPr="00972F1A">
        <w:rPr>
          <w:rStyle w:val="bzpyqfadein"/>
          <w:rFonts w:ascii="Times New Roman" w:hAnsi="Times New Roman" w:cs="Times New Roman"/>
          <w:b/>
          <w:bCs/>
          <w:sz w:val="22"/>
          <w:szCs w:val="22"/>
        </w:rPr>
        <w:t>Purpose: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stimulate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the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economy</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when</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conventional</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policy (rate</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cuts)</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could</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no</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longer</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do</w:t>
      </w:r>
      <w:r w:rsidRPr="00972F1A">
        <w:rPr>
          <w:rStyle w:val="apple-converted-space"/>
          <w:rFonts w:ascii="Times New Roman" w:hAnsi="Times New Roman" w:cs="Times New Roman"/>
          <w:sz w:val="22"/>
          <w:szCs w:val="22"/>
        </w:rPr>
        <w:t> </w:t>
      </w:r>
      <w:r w:rsidRPr="00972F1A">
        <w:rPr>
          <w:rStyle w:val="bzpyqfadein"/>
          <w:rFonts w:ascii="Times New Roman" w:hAnsi="Times New Roman" w:cs="Times New Roman"/>
          <w:sz w:val="22"/>
          <w:szCs w:val="22"/>
        </w:rPr>
        <w:t>much.</w:t>
      </w:r>
    </w:p>
    <w:p w14:paraId="1B57919D" w14:textId="77777777" w:rsidR="003A5570" w:rsidRPr="00972F1A" w:rsidRDefault="003A5570" w:rsidP="003A5570">
      <w:pPr>
        <w:spacing w:after="0" w:line="360" w:lineRule="auto"/>
        <w:rPr>
          <w:rStyle w:val="bzpyqfadein"/>
          <w:rFonts w:ascii="Times New Roman" w:hAnsi="Times New Roman" w:cs="Times New Roman"/>
          <w:kern w:val="0"/>
          <w:sz w:val="22"/>
          <w:szCs w:val="22"/>
          <w:u w:val="single"/>
        </w:rPr>
      </w:pPr>
      <w:r w:rsidRPr="0031244C">
        <w:rPr>
          <w:rFonts w:ascii="Times New Roman" w:hAnsi="Times New Roman" w:cs="Times New Roman"/>
          <w:noProof/>
          <w:kern w:val="0"/>
          <w:sz w:val="22"/>
          <w:szCs w:val="22"/>
        </w:rPr>
        <w:drawing>
          <wp:inline distT="0" distB="0" distL="0" distR="0" wp14:anchorId="4EB1A422" wp14:editId="0FF28778">
            <wp:extent cx="5943600" cy="1365250"/>
            <wp:effectExtent l="0" t="0" r="0" b="6350"/>
            <wp:docPr id="18128749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74966" name="Picture 1" descr="A screenshot of a pho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365250"/>
                    </a:xfrm>
                    <a:prstGeom prst="rect">
                      <a:avLst/>
                    </a:prstGeom>
                  </pic:spPr>
                </pic:pic>
              </a:graphicData>
            </a:graphic>
          </wp:inline>
        </w:drawing>
      </w:r>
    </w:p>
    <w:p w14:paraId="0979EC89" w14:textId="77777777" w:rsidR="003A5570" w:rsidRPr="00972F1A" w:rsidRDefault="003A5570" w:rsidP="003A5570">
      <w:pPr>
        <w:spacing w:after="0" w:line="360" w:lineRule="auto"/>
        <w:rPr>
          <w:rStyle w:val="bzpyqfadein"/>
          <w:rFonts w:ascii="Times New Roman" w:hAnsi="Times New Roman" w:cs="Times New Roman"/>
          <w:kern w:val="0"/>
          <w:sz w:val="22"/>
          <w:szCs w:val="22"/>
          <w:u w:val="single"/>
        </w:rPr>
      </w:pPr>
    </w:p>
    <w:p w14:paraId="2573F599" w14:textId="77777777" w:rsidR="003A5570" w:rsidRDefault="003A5570" w:rsidP="003A5570">
      <w:pPr>
        <w:rPr>
          <w:rFonts w:ascii="Times New Roman" w:hAnsi="Times New Roman" w:cs="Times New Roman"/>
          <w:kern w:val="0"/>
          <w:sz w:val="22"/>
          <w:szCs w:val="22"/>
          <w:u w:val="single"/>
        </w:rPr>
      </w:pPr>
      <w:r>
        <w:rPr>
          <w:rFonts w:ascii="Times New Roman" w:hAnsi="Times New Roman" w:cs="Times New Roman"/>
          <w:kern w:val="0"/>
          <w:sz w:val="22"/>
          <w:szCs w:val="22"/>
          <w:u w:val="single"/>
        </w:rPr>
        <w:t>August 2016 (Post Brexit)</w:t>
      </w:r>
    </w:p>
    <w:p w14:paraId="6CA1C067" w14:textId="77777777" w:rsidR="003A5570" w:rsidRPr="00AC50B4" w:rsidRDefault="003A5570" w:rsidP="003A5570">
      <w:pPr>
        <w:pStyle w:val="p1"/>
        <w:spacing w:line="360" w:lineRule="auto"/>
        <w:rPr>
          <w:rFonts w:ascii="Times New Roman" w:hAnsi="Times New Roman"/>
          <w:sz w:val="22"/>
          <w:szCs w:val="22"/>
        </w:rPr>
      </w:pPr>
      <w:r w:rsidRPr="00AC50B4">
        <w:rPr>
          <w:rFonts w:ascii="Times New Roman" w:hAnsi="Times New Roman"/>
          <w:sz w:val="22"/>
          <w:szCs w:val="22"/>
        </w:rPr>
        <w:t xml:space="preserve">“most members of the Committee expect monetary policy to be loosened in August. The precise size and nature of any stimulatory measures will be determined during the August forecast and Inflation Report </w:t>
      </w:r>
      <w:r w:rsidRPr="00AC50B4">
        <w:rPr>
          <w:rFonts w:ascii="Times New Roman" w:hAnsi="Times New Roman"/>
          <w:sz w:val="22"/>
          <w:szCs w:val="22"/>
        </w:rPr>
        <w:lastRenderedPageBreak/>
        <w:t>round”</w:t>
      </w:r>
      <w:r>
        <w:rPr>
          <w:rFonts w:ascii="Times New Roman" w:hAnsi="Times New Roman"/>
          <w:sz w:val="22"/>
          <w:szCs w:val="22"/>
        </w:rPr>
        <w:t xml:space="preserve"> – </w:t>
      </w:r>
      <w:r w:rsidRPr="00AC50B4">
        <w:rPr>
          <w:rFonts w:ascii="Times New Roman" w:hAnsi="Times New Roman"/>
          <w:sz w:val="22"/>
          <w:szCs w:val="22"/>
        </w:rPr>
        <w:t xml:space="preserve">This included a new Term Funding Scheme to reinforce the pass-through of the Bank Rate cut; the purchase of up to £10 </w:t>
      </w:r>
      <w:proofErr w:type="spellStart"/>
      <w:r w:rsidRPr="00AC50B4">
        <w:rPr>
          <w:rFonts w:ascii="Times New Roman" w:hAnsi="Times New Roman"/>
          <w:sz w:val="22"/>
          <w:szCs w:val="22"/>
        </w:rPr>
        <w:t>billion</w:t>
      </w:r>
      <w:proofErr w:type="spellEnd"/>
      <w:r w:rsidRPr="00AC50B4">
        <w:rPr>
          <w:rFonts w:ascii="Times New Roman" w:hAnsi="Times New Roman"/>
          <w:sz w:val="22"/>
          <w:szCs w:val="22"/>
        </w:rPr>
        <w:t xml:space="preserve"> of UK corporate bonds; and an expansion of the asset purchase scheme for UK government bonds of £60 billion, taking the total stock of these asset purchases to £435 billion. </w:t>
      </w:r>
    </w:p>
    <w:p w14:paraId="145F16BF" w14:textId="77777777" w:rsidR="003A5570" w:rsidRDefault="003A5570" w:rsidP="003A5570">
      <w:pPr>
        <w:spacing w:after="0" w:line="360" w:lineRule="auto"/>
        <w:rPr>
          <w:rFonts w:ascii="Times New Roman" w:hAnsi="Times New Roman" w:cs="Times New Roman"/>
          <w:kern w:val="0"/>
          <w:sz w:val="22"/>
          <w:szCs w:val="22"/>
          <w:u w:val="single"/>
        </w:rPr>
      </w:pPr>
      <w:r w:rsidRPr="006618B4">
        <w:rPr>
          <w:rFonts w:ascii="Times New Roman" w:hAnsi="Times New Roman" w:cs="Times New Roman"/>
          <w:noProof/>
          <w:kern w:val="0"/>
          <w:sz w:val="22"/>
          <w:szCs w:val="22"/>
        </w:rPr>
        <w:drawing>
          <wp:inline distT="0" distB="0" distL="0" distR="0" wp14:anchorId="6643B546" wp14:editId="4E8E1E7D">
            <wp:extent cx="2362611" cy="1863970"/>
            <wp:effectExtent l="0" t="0" r="0" b="3175"/>
            <wp:docPr id="740498893" name="Picture 2"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98893" name="Picture 2" descr="A graph showing the growth of the stock marke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82413" cy="1879593"/>
                    </a:xfrm>
                    <a:prstGeom prst="rect">
                      <a:avLst/>
                    </a:prstGeom>
                  </pic:spPr>
                </pic:pic>
              </a:graphicData>
            </a:graphic>
          </wp:inline>
        </w:drawing>
      </w:r>
    </w:p>
    <w:p w14:paraId="1EF86372" w14:textId="77777777" w:rsidR="003A5570" w:rsidRDefault="003A5570" w:rsidP="003A5570">
      <w:pPr>
        <w:spacing w:after="0" w:line="360" w:lineRule="auto"/>
        <w:rPr>
          <w:rFonts w:ascii="Times New Roman" w:hAnsi="Times New Roman" w:cs="Times New Roman"/>
          <w:kern w:val="0"/>
          <w:sz w:val="22"/>
          <w:szCs w:val="22"/>
          <w:u w:val="single"/>
        </w:rPr>
      </w:pPr>
    </w:p>
    <w:p w14:paraId="3A0BDFE3" w14:textId="77777777" w:rsidR="003A5570" w:rsidRDefault="003A5570" w:rsidP="003A5570">
      <w:pPr>
        <w:rPr>
          <w:rFonts w:ascii="Times New Roman" w:hAnsi="Times New Roman" w:cs="Times New Roman"/>
          <w:kern w:val="0"/>
          <w:sz w:val="22"/>
          <w:szCs w:val="22"/>
          <w:u w:val="single"/>
        </w:rPr>
      </w:pPr>
      <w:r>
        <w:rPr>
          <w:rFonts w:ascii="Times New Roman" w:hAnsi="Times New Roman" w:cs="Times New Roman"/>
          <w:kern w:val="0"/>
          <w:sz w:val="22"/>
          <w:szCs w:val="22"/>
          <w:u w:val="single"/>
        </w:rPr>
        <w:t>Covid</w:t>
      </w:r>
    </w:p>
    <w:p w14:paraId="7498C846" w14:textId="77777777" w:rsidR="003A5570" w:rsidRPr="004B310A" w:rsidRDefault="003A5570" w:rsidP="003A5570">
      <w:pPr>
        <w:pStyle w:val="p1"/>
        <w:spacing w:line="360" w:lineRule="auto"/>
        <w:rPr>
          <w:rFonts w:ascii="Times New Roman" w:hAnsi="Times New Roman"/>
          <w:sz w:val="22"/>
          <w:szCs w:val="22"/>
        </w:rPr>
      </w:pPr>
      <w:r w:rsidRPr="004B310A">
        <w:rPr>
          <w:rFonts w:ascii="Times New Roman" w:hAnsi="Times New Roman"/>
          <w:sz w:val="22"/>
          <w:szCs w:val="22"/>
        </w:rPr>
        <w:t>Maintained rates but changed forward guidance: “Further ahead [...] some modest tightening of policy, at a gradual pace and to a limited extent, may be needed to maintain inflation sustainably at the target.” =&gt; “at a gradual pace and to a limited extent” was removed</w:t>
      </w:r>
    </w:p>
    <w:p w14:paraId="24482A34" w14:textId="77777777" w:rsidR="003A5570" w:rsidRDefault="003A5570" w:rsidP="003A5570">
      <w:pPr>
        <w:spacing w:after="0" w:line="360" w:lineRule="auto"/>
        <w:rPr>
          <w:rFonts w:ascii="Times New Roman" w:hAnsi="Times New Roman" w:cs="Times New Roman"/>
          <w:kern w:val="0"/>
          <w:sz w:val="22"/>
          <w:szCs w:val="22"/>
          <w:u w:val="single"/>
        </w:rPr>
      </w:pPr>
    </w:p>
    <w:p w14:paraId="7F87E1A2" w14:textId="77777777" w:rsidR="003A5570" w:rsidRDefault="003A5570" w:rsidP="003A5570">
      <w:pPr>
        <w:spacing w:after="0" w:line="360" w:lineRule="auto"/>
        <w:rPr>
          <w:rFonts w:ascii="Times New Roman" w:hAnsi="Times New Roman" w:cs="Times New Roman"/>
          <w:kern w:val="0"/>
          <w:sz w:val="22"/>
          <w:szCs w:val="22"/>
          <w:u w:val="single"/>
        </w:rPr>
      </w:pPr>
      <w:r w:rsidRPr="006618B4">
        <w:rPr>
          <w:rFonts w:ascii="Times New Roman" w:hAnsi="Times New Roman" w:cs="Times New Roman"/>
          <w:noProof/>
          <w:kern w:val="0"/>
          <w:sz w:val="22"/>
          <w:szCs w:val="22"/>
        </w:rPr>
        <w:drawing>
          <wp:inline distT="0" distB="0" distL="0" distR="0" wp14:anchorId="3D347601" wp14:editId="209FE0FA">
            <wp:extent cx="3191933" cy="2470639"/>
            <wp:effectExtent l="0" t="0" r="0" b="6350"/>
            <wp:docPr id="894546892" name="Picture 3"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46892" name="Picture 3" descr="A graph showing the growth of the stock marke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198376" cy="2475626"/>
                    </a:xfrm>
                    <a:prstGeom prst="rect">
                      <a:avLst/>
                    </a:prstGeom>
                  </pic:spPr>
                </pic:pic>
              </a:graphicData>
            </a:graphic>
          </wp:inline>
        </w:drawing>
      </w:r>
    </w:p>
    <w:p w14:paraId="2B3C1972" w14:textId="77777777" w:rsidR="0061433C" w:rsidRDefault="0061433C" w:rsidP="0061433C">
      <w:pPr>
        <w:pStyle w:val="font-claude-response-body"/>
        <w:rPr>
          <w:color w:val="000000"/>
          <w:sz w:val="22"/>
          <w:szCs w:val="22"/>
        </w:rPr>
      </w:pPr>
    </w:p>
    <w:p w14:paraId="0280511C" w14:textId="77777777" w:rsidR="003A5570" w:rsidRDefault="003A5570" w:rsidP="0061433C">
      <w:pPr>
        <w:pStyle w:val="font-claude-response-body"/>
        <w:rPr>
          <w:color w:val="000000"/>
          <w:sz w:val="22"/>
          <w:szCs w:val="22"/>
        </w:rPr>
      </w:pPr>
    </w:p>
    <w:p w14:paraId="750C6A64" w14:textId="77777777" w:rsidR="003A5570" w:rsidRPr="0061433C" w:rsidRDefault="003A5570" w:rsidP="0061433C">
      <w:pPr>
        <w:pStyle w:val="font-claude-response-body"/>
        <w:rPr>
          <w:color w:val="000000"/>
          <w:sz w:val="22"/>
          <w:szCs w:val="22"/>
        </w:rPr>
      </w:pPr>
    </w:p>
    <w:p w14:paraId="01F6F5C8" w14:textId="77777777" w:rsidR="0061433C" w:rsidRPr="0061433C" w:rsidRDefault="0061433C" w:rsidP="0061433C">
      <w:pPr>
        <w:pStyle w:val="font-claude-response-body"/>
        <w:rPr>
          <w:color w:val="000000"/>
          <w:sz w:val="22"/>
          <w:szCs w:val="22"/>
        </w:rPr>
      </w:pPr>
      <w:r w:rsidRPr="0061433C">
        <w:rPr>
          <w:rStyle w:val="Strong"/>
          <w:color w:val="000000"/>
          <w:sz w:val="22"/>
          <w:szCs w:val="22"/>
        </w:rPr>
        <w:lastRenderedPageBreak/>
        <w:t>Do not include:</w:t>
      </w:r>
      <w:r w:rsidRPr="0061433C">
        <w:rPr>
          <w:rStyle w:val="apple-converted-space"/>
          <w:color w:val="000000"/>
          <w:sz w:val="22"/>
          <w:szCs w:val="22"/>
        </w:rPr>
        <w:t> </w:t>
      </w:r>
      <w:r w:rsidRPr="0061433C">
        <w:rPr>
          <w:color w:val="000000"/>
          <w:sz w:val="22"/>
          <w:szCs w:val="22"/>
        </w:rPr>
        <w:t>a paragraph on each paper. Group them by argument. If a paper appears only because it is UK-related, it belongs in one sentence or a footnote.</w:t>
      </w:r>
    </w:p>
    <w:p w14:paraId="7A3FAA5B" w14:textId="77777777" w:rsidR="0061433C" w:rsidRPr="0061433C" w:rsidRDefault="0061433C" w:rsidP="0061433C">
      <w:pPr>
        <w:pStyle w:val="font-claude-response-body"/>
        <w:rPr>
          <w:color w:val="000000"/>
          <w:sz w:val="22"/>
          <w:szCs w:val="22"/>
        </w:rPr>
      </w:pPr>
      <w:r w:rsidRPr="0061433C">
        <w:rPr>
          <w:rStyle w:val="Strong"/>
          <w:color w:val="000000"/>
          <w:sz w:val="22"/>
          <w:szCs w:val="22"/>
        </w:rPr>
        <w:t>No figures/tables</w:t>
      </w:r>
      <w:r w:rsidRPr="0061433C">
        <w:rPr>
          <w:rStyle w:val="apple-converted-space"/>
          <w:color w:val="000000"/>
          <w:sz w:val="22"/>
          <w:szCs w:val="22"/>
        </w:rPr>
        <w:t> </w:t>
      </w:r>
      <w:r w:rsidRPr="0061433C">
        <w:rPr>
          <w:color w:val="000000"/>
          <w:sz w:val="22"/>
          <w:szCs w:val="22"/>
        </w:rPr>
        <w:t>in this section.</w:t>
      </w:r>
    </w:p>
    <w:p w14:paraId="3B8DD400"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1BC45B98"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659536EB"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56F90F8B" w14:textId="77777777" w:rsid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4FC13DD0" w14:textId="77777777" w:rsidR="0061433C" w:rsidRPr="0061433C" w:rsidRDefault="0061433C" w:rsidP="0021032C">
      <w:pPr>
        <w:autoSpaceDE w:val="0"/>
        <w:autoSpaceDN w:val="0"/>
        <w:adjustRightInd w:val="0"/>
        <w:spacing w:after="0" w:line="360" w:lineRule="auto"/>
        <w:rPr>
          <w:rFonts w:ascii="Times New Roman" w:hAnsi="Times New Roman" w:cs="Times New Roman"/>
          <w:b/>
          <w:bCs/>
          <w:kern w:val="0"/>
          <w:sz w:val="22"/>
          <w:szCs w:val="22"/>
        </w:rPr>
      </w:pPr>
    </w:p>
    <w:p w14:paraId="31AC4BDB" w14:textId="77777777" w:rsidR="00974E84" w:rsidRPr="0061433C" w:rsidRDefault="00974E84" w:rsidP="00974E84">
      <w:pPr>
        <w:spacing w:after="0" w:line="360" w:lineRule="auto"/>
        <w:rPr>
          <w:rFonts w:ascii="Times New Roman" w:eastAsia="Times New Roman" w:hAnsi="Times New Roman" w:cs="Times New Roman"/>
          <w:color w:val="000000"/>
          <w:kern w:val="0"/>
          <w:sz w:val="22"/>
          <w:szCs w:val="22"/>
          <w:u w:val="single"/>
          <w:lang w:eastAsia="en-GB"/>
          <w14:ligatures w14:val="none"/>
        </w:rPr>
      </w:pPr>
      <w:r w:rsidRPr="0061433C">
        <w:rPr>
          <w:rFonts w:ascii="Times New Roman" w:eastAsia="Times New Roman" w:hAnsi="Times New Roman" w:cs="Times New Roman"/>
          <w:color w:val="000000"/>
          <w:kern w:val="0"/>
          <w:sz w:val="22"/>
          <w:szCs w:val="22"/>
          <w:u w:val="single"/>
          <w:lang w:eastAsia="en-GB"/>
          <w14:ligatures w14:val="none"/>
        </w:rPr>
        <w:t>2.1 The Bank of England’s Policy Cycle and Communication Schedule</w:t>
      </w:r>
    </w:p>
    <w:p w14:paraId="39E6E0E2" w14:textId="77777777" w:rsidR="00974E84" w:rsidRPr="0061433C"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694E0D26" w14:textId="77777777" w:rsidR="00974E84" w:rsidRPr="0061433C" w:rsidRDefault="00974E84" w:rsidP="00974E84">
      <w:pPr>
        <w:autoSpaceDE w:val="0"/>
        <w:autoSpaceDN w:val="0"/>
        <w:adjustRightInd w:val="0"/>
        <w:spacing w:after="0" w:line="360" w:lineRule="auto"/>
        <w:rPr>
          <w:rFonts w:ascii="Times New Roman" w:hAnsi="Times New Roman" w:cs="Times New Roman"/>
          <w:kern w:val="0"/>
          <w:sz w:val="22"/>
          <w:szCs w:val="22"/>
        </w:rPr>
      </w:pPr>
      <w:r w:rsidRPr="0061433C">
        <w:rPr>
          <w:rFonts w:ascii="Times New Roman" w:hAnsi="Times New Roman" w:cs="Times New Roman"/>
          <w:kern w:val="0"/>
          <w:sz w:val="22"/>
          <w:szCs w:val="22"/>
        </w:rPr>
        <w:t>BoE dual mandate like FED or no? ECB just cares about inflation since Lagarde</w:t>
      </w:r>
    </w:p>
    <w:p w14:paraId="725B5CD8" w14:textId="77777777" w:rsidR="00974E84" w:rsidRPr="00A070DF" w:rsidRDefault="00974E84" w:rsidP="00974E84">
      <w:pPr>
        <w:pStyle w:val="p1"/>
        <w:spacing w:line="360" w:lineRule="auto"/>
        <w:rPr>
          <w:rFonts w:ascii="Times New Roman" w:hAnsi="Times New Roman"/>
          <w:sz w:val="22"/>
          <w:szCs w:val="22"/>
        </w:rPr>
      </w:pPr>
      <w:r w:rsidRPr="0061433C">
        <w:rPr>
          <w:rFonts w:ascii="Times New Roman" w:hAnsi="Times New Roman"/>
          <w:sz w:val="22"/>
          <w:szCs w:val="22"/>
        </w:rPr>
        <w:t xml:space="preserve">In recent years, MPC sets Bank Rate level as </w:t>
      </w:r>
      <w:r w:rsidRPr="00A070DF">
        <w:rPr>
          <w:rFonts w:ascii="Times New Roman" w:hAnsi="Times New Roman"/>
          <w:sz w:val="22"/>
          <w:szCs w:val="22"/>
        </w:rPr>
        <w:t>sole or primary instrument. Forward guidance introduced explicitly in 2013 but always been there (“monetary policy has now reached a position at which it should be possible to pause in order to assess the direction in which the risks are likely to materialise”, August 1997 committee communication)</w:t>
      </w:r>
    </w:p>
    <w:p w14:paraId="3605B5D8"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141DDE30"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58E18C30"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conventional monetary policy shocks that operate primarily via changes in the level of the policy rate (Bank Rate) of the Monetary Policy Committee’s (MPC) communication about the future path of policy, and of QE announcements.</w:t>
      </w:r>
    </w:p>
    <w:p w14:paraId="5FCBE27B"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2BBC68BE"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760B159D"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Bank Rate shocks tend to move shorter maturity interest rates the most, while communication and QE announcements have larger eﬀects at longer maturities.</w:t>
      </w:r>
    </w:p>
    <w:p w14:paraId="22492B03"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6C03D90B"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r w:rsidRPr="00A070DF">
        <w:rPr>
          <w:rFonts w:ascii="Times New Roman" w:hAnsi="Times New Roman" w:cs="Times New Roman"/>
          <w:kern w:val="0"/>
          <w:sz w:val="22"/>
          <w:szCs w:val="22"/>
        </w:rPr>
        <w:t>MPC announcements (which will capture Inflation Report (IR) / Monetary Policy Report (MPR) announcements in the post-2015 sample) and press conferences (which will capture IR/MPR announcements in the pre-2015 sample</w:t>
      </w:r>
    </w:p>
    <w:p w14:paraId="6AAA7BB8"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2959444C"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markets extract tightening news about the possible future path of policy when a subset of MPC members votes in favour of a higher Bank Rate.</w:t>
      </w:r>
    </w:p>
    <w:p w14:paraId="609DD426"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21E0AD05"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 xml:space="preserve">The main monetary policy publication, at the time called the Inflation Report (IR), followed a quarterly publication schedule and was typically published two weeks after the Bank Rate decision of the same </w:t>
      </w:r>
      <w:r w:rsidRPr="00A070DF">
        <w:rPr>
          <w:rFonts w:ascii="Times New Roman" w:hAnsi="Times New Roman"/>
          <w:sz w:val="22"/>
          <w:szCs w:val="22"/>
        </w:rPr>
        <w:lastRenderedPageBreak/>
        <w:t>month. The press release that followed the publication of the IR oﬀered a chance for the MPC to share insights into the rationale for the decisions, and to discuss the prevailing judgements that concurred to inform their view of the UK macroeconomic outlook. Starting from August 2015, MPC meetings and policy decisions have been moved to a six-week cycle and, once every quarter, the monetary policy decisions are released together with the publication of the Monetary Policy Report, and of the meeting’s minutes. A press conference then follows on the same day.</w:t>
      </w:r>
    </w:p>
    <w:p w14:paraId="435A4BEB" w14:textId="77777777" w:rsidR="00974E84" w:rsidRPr="00A070DF" w:rsidRDefault="00974E84" w:rsidP="00974E84">
      <w:pPr>
        <w:autoSpaceDE w:val="0"/>
        <w:autoSpaceDN w:val="0"/>
        <w:adjustRightInd w:val="0"/>
        <w:spacing w:after="0" w:line="360" w:lineRule="auto"/>
        <w:rPr>
          <w:rFonts w:ascii="Times New Roman" w:hAnsi="Times New Roman" w:cs="Times New Roman"/>
          <w:kern w:val="0"/>
          <w:sz w:val="22"/>
          <w:szCs w:val="22"/>
        </w:rPr>
      </w:pPr>
    </w:p>
    <w:p w14:paraId="7A1F4B90"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 xml:space="preserve">A one-oﬀ Bank Rate increase leads to a rise in corporate spreads and sudden repricing in the stock market. Output exhibits a more sluggish response, and contracts over the subsequent year. The inflation response is </w:t>
      </w:r>
      <w:proofErr w:type="gramStart"/>
      <w:r w:rsidRPr="00A070DF">
        <w:rPr>
          <w:rFonts w:ascii="Times New Roman" w:hAnsi="Times New Roman"/>
          <w:sz w:val="22"/>
          <w:szCs w:val="22"/>
        </w:rPr>
        <w:t>subdued, but</w:t>
      </w:r>
      <w:proofErr w:type="gramEnd"/>
      <w:r w:rsidRPr="00A070DF">
        <w:rPr>
          <w:rFonts w:ascii="Times New Roman" w:hAnsi="Times New Roman"/>
          <w:sz w:val="22"/>
          <w:szCs w:val="22"/>
        </w:rPr>
        <w:t xml:space="preserve"> becomes more pronounced when considering a shock to the medium-term policy path, which also elicits a stronger and more prolonged appreciation of the pound. These shocks also lead to a more frontloaded fall in output.</w:t>
      </w:r>
    </w:p>
    <w:p w14:paraId="1DA2C14F" w14:textId="77777777" w:rsidR="00974E84" w:rsidRPr="00A070DF" w:rsidRDefault="00974E84" w:rsidP="00974E84">
      <w:pPr>
        <w:pStyle w:val="p1"/>
        <w:spacing w:line="360" w:lineRule="auto"/>
        <w:rPr>
          <w:rFonts w:ascii="Times New Roman" w:hAnsi="Times New Roman"/>
          <w:sz w:val="22"/>
          <w:szCs w:val="22"/>
        </w:rPr>
      </w:pPr>
    </w:p>
    <w:p w14:paraId="07DEC00E" w14:textId="77777777" w:rsidR="00974E84" w:rsidRPr="00A070DF"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A070DF">
        <w:rPr>
          <w:rFonts w:ascii="Times New Roman" w:eastAsia="Times New Roman" w:hAnsi="Times New Roman" w:cs="Times New Roman"/>
          <w:kern w:val="0"/>
          <w:sz w:val="22"/>
          <w:szCs w:val="22"/>
          <w:lang w:eastAsia="en-GB"/>
          <w14:ligatures w14:val="none"/>
        </w:rPr>
        <w:t xml:space="preserve">Until 2003 the inflation target was defined in terms of the retail price index excluding mortgage interest rates. Since 1997, the target was set to 2.5 percent annual rate. From 2003 onward, the inflation target has been specified to be 2 percent as measured by the 12-month increase in the consumer price index (Cloyne and </w:t>
      </w:r>
      <w:proofErr w:type="spellStart"/>
      <w:r w:rsidRPr="00A070DF">
        <w:rPr>
          <w:rFonts w:ascii="Times New Roman" w:eastAsia="Times New Roman" w:hAnsi="Times New Roman" w:cs="Times New Roman"/>
          <w:kern w:val="0"/>
          <w:sz w:val="22"/>
          <w:szCs w:val="22"/>
          <w:lang w:eastAsia="en-GB"/>
          <w14:ligatures w14:val="none"/>
        </w:rPr>
        <w:t>Hürtgen</w:t>
      </w:r>
      <w:proofErr w:type="spellEnd"/>
      <w:r w:rsidRPr="00A070DF">
        <w:rPr>
          <w:rFonts w:ascii="Times New Roman" w:eastAsia="Times New Roman" w:hAnsi="Times New Roman" w:cs="Times New Roman"/>
          <w:kern w:val="0"/>
          <w:sz w:val="22"/>
          <w:szCs w:val="22"/>
          <w:lang w:eastAsia="en-GB"/>
          <w14:ligatures w14:val="none"/>
        </w:rPr>
        <w:t>, 2016).</w:t>
      </w:r>
    </w:p>
    <w:p w14:paraId="077A9016"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Monetary policy announcements were typically scheduled for 12:00 noon local time</w:t>
      </w:r>
    </w:p>
    <w:p w14:paraId="03F65BE9"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BoE Inflation report: February, May, August and November</w:t>
      </w:r>
    </w:p>
    <w:p w14:paraId="1D30AACD"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IR was typically scheduled a week after the Bank Rate announcement, at 10:30 local time, and it was immediately followed by a 1-hour press conference.</w:t>
      </w:r>
    </w:p>
    <w:p w14:paraId="6F1533F1" w14:textId="77777777" w:rsidR="00974E84" w:rsidRPr="00A070DF" w:rsidRDefault="00974E84" w:rsidP="00974E84">
      <w:pPr>
        <w:pStyle w:val="p1"/>
        <w:spacing w:line="360" w:lineRule="auto"/>
        <w:rPr>
          <w:rFonts w:ascii="Times New Roman" w:hAnsi="Times New Roman"/>
          <w:color w:val="0000FF"/>
          <w:sz w:val="22"/>
          <w:szCs w:val="22"/>
        </w:rPr>
      </w:pPr>
      <w:r w:rsidRPr="00A070DF">
        <w:rPr>
          <w:rFonts w:ascii="Times New Roman" w:hAnsi="Times New Roman"/>
          <w:sz w:val="22"/>
          <w:szCs w:val="22"/>
        </w:rPr>
        <w:t xml:space="preserve">The minutes of each MPC decision meeting were published two weeks after each announcement, at 9:30 local time. (Before October 1998, the minutes were published </w:t>
      </w:r>
      <w:r w:rsidRPr="00A070DF">
        <w:rPr>
          <w:rFonts w:ascii="Times New Roman" w:hAnsi="Times New Roman"/>
          <w:color w:val="auto"/>
          <w:sz w:val="22"/>
          <w:szCs w:val="22"/>
        </w:rPr>
        <w:t xml:space="preserve">with a six week lag (Reeves and Sawicki, 2005)) </w:t>
      </w:r>
      <w:r w:rsidRPr="00A070DF">
        <w:rPr>
          <w:rFonts w:ascii="Times New Roman" w:hAnsi="Times New Roman"/>
          <w:sz w:val="22"/>
          <w:szCs w:val="22"/>
        </w:rPr>
        <w:t xml:space="preserve">– often coincided with data releases that are also likely to substantially influence markets – e.g. Labour Force Survey (unemployment figures), statistics on money and lending activities and, in some instances, even of GDP figures. </w:t>
      </w:r>
      <w:proofErr w:type="gramStart"/>
      <w:r w:rsidRPr="00A070DF">
        <w:rPr>
          <w:rFonts w:ascii="Times New Roman" w:hAnsi="Times New Roman"/>
          <w:sz w:val="22"/>
          <w:szCs w:val="22"/>
        </w:rPr>
        <w:t>So</w:t>
      </w:r>
      <w:proofErr w:type="gramEnd"/>
      <w:r w:rsidRPr="00A070DF">
        <w:rPr>
          <w:rFonts w:ascii="Times New Roman" w:hAnsi="Times New Roman"/>
          <w:sz w:val="22"/>
          <w:szCs w:val="22"/>
        </w:rPr>
        <w:t xml:space="preserve"> release of minutes not included in earlier part of sample</w:t>
      </w:r>
    </w:p>
    <w:p w14:paraId="1B768A9B" w14:textId="77777777" w:rsidR="00974E84" w:rsidRPr="00A070DF" w:rsidRDefault="00974E84" w:rsidP="00974E84">
      <w:pPr>
        <w:pStyle w:val="p1"/>
        <w:spacing w:line="360" w:lineRule="auto"/>
        <w:rPr>
          <w:rFonts w:ascii="Times New Roman" w:hAnsi="Times New Roman"/>
          <w:sz w:val="22"/>
          <w:szCs w:val="22"/>
        </w:rPr>
      </w:pPr>
    </w:p>
    <w:p w14:paraId="2DB01EEC"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Currently, the monetary policy decision, statement and minutes of each meeting are released jointly, on a Thursday, at 12:00 local time. The main monetary policy publication, later renamed the Monetary Policy Report (MPR), maintained the same quarterly publication cycle. When due, it is published together with the monetary policy decision, and the associated press conference is scheduled on the same day, from 12:30 to 13:30 (originally from 12:45 to 13:45). This quarterly occurrence has come to be known of as the BOE’s “Super Thursday”.</w:t>
      </w:r>
    </w:p>
    <w:p w14:paraId="589F0991"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lastRenderedPageBreak/>
        <w:t xml:space="preserve">Policy rate Effective lower bound in 2009 =&gt; first large-scale asset purchase programme launched (QE) – QE-related announcements are communicated jointly with Bank Rate </w:t>
      </w:r>
      <w:proofErr w:type="gramStart"/>
      <w:r w:rsidRPr="00A070DF">
        <w:rPr>
          <w:rFonts w:ascii="Times New Roman" w:hAnsi="Times New Roman"/>
          <w:sz w:val="22"/>
          <w:szCs w:val="22"/>
        </w:rPr>
        <w:t>decisions, and</w:t>
      </w:r>
      <w:proofErr w:type="gramEnd"/>
      <w:r w:rsidRPr="00A070DF">
        <w:rPr>
          <w:rFonts w:ascii="Times New Roman" w:hAnsi="Times New Roman"/>
          <w:sz w:val="22"/>
          <w:szCs w:val="22"/>
        </w:rPr>
        <w:t xml:space="preserve"> following the same six-week cycle.</w:t>
      </w:r>
    </w:p>
    <w:p w14:paraId="683EE49A" w14:textId="77777777" w:rsidR="00974E84" w:rsidRPr="00A070DF" w:rsidRDefault="00974E84" w:rsidP="00974E84">
      <w:pPr>
        <w:pStyle w:val="p1"/>
        <w:spacing w:line="360" w:lineRule="auto"/>
        <w:rPr>
          <w:rFonts w:ascii="Times New Roman" w:hAnsi="Times New Roman"/>
          <w:sz w:val="22"/>
          <w:szCs w:val="22"/>
        </w:rPr>
      </w:pPr>
      <w:r w:rsidRPr="00A070DF">
        <w:rPr>
          <w:rFonts w:ascii="Times New Roman" w:hAnsi="Times New Roman"/>
          <w:sz w:val="22"/>
          <w:szCs w:val="22"/>
        </w:rPr>
        <w:t>The MPC communicates with the public also through speeches.</w:t>
      </w:r>
    </w:p>
    <w:p w14:paraId="2CA48214" w14:textId="77777777" w:rsidR="00974E84" w:rsidRPr="00A070DF" w:rsidRDefault="00974E84" w:rsidP="00974E84">
      <w:pPr>
        <w:spacing w:after="0" w:line="360" w:lineRule="auto"/>
        <w:rPr>
          <w:rFonts w:ascii="Times New Roman" w:eastAsia="Times New Roman" w:hAnsi="Times New Roman" w:cs="Times New Roman"/>
          <w:color w:val="000000"/>
          <w:kern w:val="0"/>
          <w:sz w:val="22"/>
          <w:szCs w:val="22"/>
          <w:lang w:eastAsia="en-GB"/>
          <w14:ligatures w14:val="none"/>
        </w:rPr>
      </w:pPr>
      <w:r w:rsidRPr="00A070DF">
        <w:rPr>
          <w:rFonts w:ascii="Times New Roman" w:eastAsia="Times New Roman" w:hAnsi="Times New Roman" w:cs="Times New Roman"/>
          <w:color w:val="000000"/>
          <w:kern w:val="0"/>
          <w:sz w:val="22"/>
          <w:szCs w:val="22"/>
          <w:lang w:eastAsia="en-GB"/>
          <w14:ligatures w14:val="none"/>
        </w:rPr>
        <w:br w:type="page"/>
      </w:r>
    </w:p>
    <w:p w14:paraId="3E1EF25D" w14:textId="77777777" w:rsidR="00974E84" w:rsidRPr="00A070DF" w:rsidRDefault="00974E84" w:rsidP="00974E84">
      <w:pPr>
        <w:pStyle w:val="p1"/>
        <w:spacing w:line="360" w:lineRule="auto"/>
        <w:rPr>
          <w:rFonts w:ascii="Times New Roman" w:hAnsi="Times New Roman"/>
          <w:color w:val="auto"/>
          <w:sz w:val="22"/>
          <w:szCs w:val="22"/>
        </w:rPr>
      </w:pPr>
      <w:r w:rsidRPr="00A070DF">
        <w:rPr>
          <w:rFonts w:ascii="Times New Roman" w:hAnsi="Times New Roman"/>
          <w:color w:val="auto"/>
          <w:sz w:val="22"/>
          <w:szCs w:val="22"/>
        </w:rPr>
        <w:lastRenderedPageBreak/>
        <w:t>2.2.1</w:t>
      </w:r>
    </w:p>
    <w:p w14:paraId="44449CFF" w14:textId="77777777" w:rsidR="00974E84" w:rsidRPr="00A070DF" w:rsidRDefault="00974E84" w:rsidP="00974E84">
      <w:pPr>
        <w:pStyle w:val="p1"/>
        <w:spacing w:line="360" w:lineRule="auto"/>
        <w:rPr>
          <w:rFonts w:ascii="Times New Roman" w:hAnsi="Times New Roman"/>
          <w:color w:val="auto"/>
          <w:sz w:val="22"/>
          <w:szCs w:val="22"/>
        </w:rPr>
      </w:pPr>
    </w:p>
    <w:p w14:paraId="1747B9DB" w14:textId="77777777" w:rsidR="00974E84" w:rsidRPr="00E7256C" w:rsidRDefault="00974E84" w:rsidP="00974E84">
      <w:pPr>
        <w:pStyle w:val="p1"/>
        <w:spacing w:line="360" w:lineRule="auto"/>
        <w:rPr>
          <w:rFonts w:ascii="Times New Roman" w:hAnsi="Times New Roman"/>
          <w:color w:val="auto"/>
          <w:sz w:val="22"/>
          <w:szCs w:val="22"/>
        </w:rPr>
      </w:pPr>
      <w:r w:rsidRPr="00A070DF">
        <w:rPr>
          <w:rFonts w:ascii="Times New Roman" w:hAnsi="Times New Roman"/>
          <w:color w:val="auto"/>
          <w:sz w:val="22"/>
          <w:szCs w:val="22"/>
        </w:rPr>
        <w:t xml:space="preserve">Following </w:t>
      </w:r>
      <w:r w:rsidRPr="00A070DF">
        <w:rPr>
          <w:rStyle w:val="s1"/>
          <w:rFonts w:ascii="Times New Roman" w:eastAsiaTheme="majorEastAsia" w:hAnsi="Times New Roman"/>
          <w:color w:val="auto"/>
          <w:sz w:val="22"/>
          <w:szCs w:val="22"/>
        </w:rPr>
        <w:t>Gürkaynak</w:t>
      </w:r>
      <w:r w:rsidRPr="0021032C">
        <w:rPr>
          <w:rStyle w:val="s1"/>
          <w:rFonts w:ascii="Times New Roman" w:eastAsiaTheme="majorEastAsia" w:hAnsi="Times New Roman"/>
          <w:color w:val="auto"/>
          <w:sz w:val="22"/>
          <w:szCs w:val="22"/>
        </w:rPr>
        <w:t xml:space="preserve"> et al. </w:t>
      </w:r>
      <w:r w:rsidRPr="0021032C">
        <w:rPr>
          <w:rFonts w:ascii="Times New Roman" w:hAnsi="Times New Roman"/>
          <w:color w:val="auto"/>
          <w:sz w:val="22"/>
          <w:szCs w:val="22"/>
        </w:rPr>
        <w:t>(</w:t>
      </w:r>
      <w:r w:rsidRPr="0021032C">
        <w:rPr>
          <w:rStyle w:val="s1"/>
          <w:rFonts w:ascii="Times New Roman" w:eastAsiaTheme="majorEastAsia" w:hAnsi="Times New Roman"/>
          <w:color w:val="auto"/>
          <w:sz w:val="22"/>
          <w:szCs w:val="22"/>
        </w:rPr>
        <w:t>2005</w:t>
      </w:r>
      <w:r w:rsidRPr="0021032C">
        <w:rPr>
          <w:rFonts w:ascii="Times New Roman" w:hAnsi="Times New Roman"/>
          <w:color w:val="auto"/>
          <w:sz w:val="22"/>
          <w:szCs w:val="22"/>
        </w:rPr>
        <w:t xml:space="preserve">), we define monetary policy surprises as high-frequency revisions in asset </w:t>
      </w:r>
      <w:r w:rsidRPr="00E7256C">
        <w:rPr>
          <w:rFonts w:ascii="Times New Roman" w:hAnsi="Times New Roman"/>
          <w:color w:val="auto"/>
          <w:sz w:val="22"/>
          <w:szCs w:val="22"/>
        </w:rPr>
        <w:t>prices around monetary policy events. To ensure that no competing events distort the measurement, monetary policy surprises are calculated over narrow time windows that bracket the announcements, as the difference between</w:t>
      </w:r>
    </w:p>
    <w:p w14:paraId="35B1CA85"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the price that prevails before and after the relevant monetary policy event. (30-minute measurement window, from 10 minutes before to 20 minutes after the announcement)</w:t>
      </w:r>
    </w:p>
    <w:p w14:paraId="00B3207E" w14:textId="77777777" w:rsidR="00974E84" w:rsidRPr="00E7256C" w:rsidRDefault="00974E84" w:rsidP="00974E84">
      <w:pPr>
        <w:pStyle w:val="p1"/>
        <w:spacing w:line="360" w:lineRule="auto"/>
        <w:rPr>
          <w:rFonts w:ascii="Times New Roman" w:hAnsi="Times New Roman"/>
          <w:color w:val="auto"/>
          <w:sz w:val="22"/>
          <w:szCs w:val="22"/>
        </w:rPr>
      </w:pPr>
    </w:p>
    <w:p w14:paraId="72F242E2"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For the press-conference that follows the release of the IR/MPR, we instead use a longer 75-minute window, from 10 minutes before its beginning to 5 minutes after its end. To avoid misquotes, and following </w:t>
      </w:r>
      <w:r w:rsidRPr="00E7256C">
        <w:rPr>
          <w:rStyle w:val="s1"/>
          <w:rFonts w:ascii="Times New Roman" w:eastAsiaTheme="majorEastAsia" w:hAnsi="Times New Roman"/>
          <w:color w:val="auto"/>
          <w:sz w:val="22"/>
          <w:szCs w:val="22"/>
        </w:rPr>
        <w:t xml:space="preserve">Altavilla et al. </w:t>
      </w:r>
      <w:r w:rsidRPr="00E7256C">
        <w:rPr>
          <w:rFonts w:ascii="Times New Roman" w:hAnsi="Times New Roman"/>
          <w:color w:val="auto"/>
          <w:sz w:val="22"/>
          <w:szCs w:val="22"/>
        </w:rPr>
        <w:t>(</w:t>
      </w:r>
      <w:r w:rsidRPr="00E7256C">
        <w:rPr>
          <w:rStyle w:val="s1"/>
          <w:rFonts w:ascii="Times New Roman" w:eastAsiaTheme="majorEastAsia" w:hAnsi="Times New Roman"/>
          <w:color w:val="auto"/>
          <w:sz w:val="22"/>
          <w:szCs w:val="22"/>
        </w:rPr>
        <w:t>2019</w:t>
      </w:r>
      <w:r w:rsidRPr="00E7256C">
        <w:rPr>
          <w:rFonts w:ascii="Times New Roman" w:hAnsi="Times New Roman"/>
          <w:color w:val="auto"/>
          <w:sz w:val="22"/>
          <w:szCs w:val="22"/>
        </w:rPr>
        <w:t>), for each event we define the pre-event price as the median quote in the ten minutes before the beginning of each window, and the post-event price as the median quote in the 10 minutes after the end of each window.</w:t>
      </w:r>
      <w:r w:rsidRPr="00E7256C">
        <w:rPr>
          <w:rStyle w:val="apple-converted-space"/>
          <w:rFonts w:ascii="Times New Roman" w:eastAsiaTheme="majorEastAsia" w:hAnsi="Times New Roman"/>
          <w:color w:val="auto"/>
          <w:sz w:val="22"/>
          <w:szCs w:val="22"/>
        </w:rPr>
        <w:t> </w:t>
      </w:r>
    </w:p>
    <w:p w14:paraId="52FCD263" w14:textId="77777777" w:rsidR="00974E84" w:rsidRPr="00E7256C" w:rsidRDefault="00974E84" w:rsidP="00974E84">
      <w:pPr>
        <w:pStyle w:val="p1"/>
        <w:spacing w:line="360" w:lineRule="auto"/>
        <w:rPr>
          <w:rFonts w:ascii="Times New Roman" w:hAnsi="Times New Roman"/>
          <w:color w:val="auto"/>
          <w:sz w:val="22"/>
          <w:szCs w:val="22"/>
        </w:rPr>
      </w:pPr>
    </w:p>
    <w:p w14:paraId="481FEFC3"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In the pre Super Thursday sample (1997-2015), the announcement window includes Bank Rate and other policy announcements (e.g. QE from 2009) and the release of the policy statement. The press conference window instead includes the publication of the IR and the whole duration of the press conference. In the </w:t>
      </w:r>
      <w:proofErr w:type="spellStart"/>
      <w:r w:rsidRPr="00E7256C">
        <w:rPr>
          <w:rFonts w:ascii="Times New Roman" w:hAnsi="Times New Roman"/>
          <w:color w:val="auto"/>
          <w:sz w:val="22"/>
          <w:szCs w:val="22"/>
        </w:rPr>
        <w:t>post Super</w:t>
      </w:r>
      <w:proofErr w:type="spellEnd"/>
      <w:r w:rsidRPr="00E7256C">
        <w:rPr>
          <w:rFonts w:ascii="Times New Roman" w:hAnsi="Times New Roman"/>
          <w:color w:val="auto"/>
          <w:sz w:val="22"/>
          <w:szCs w:val="22"/>
        </w:rPr>
        <w:t xml:space="preserve"> Thursday sample (2015-2023), the press conference window only covers the actual press conference. Policy decisions, the publication of the MPR, as well as the release of the minutes and the statement all enter the announcement window</w:t>
      </w:r>
    </w:p>
    <w:p w14:paraId="0C3DF6D7" w14:textId="77777777" w:rsidR="00974E84" w:rsidRPr="00E7256C" w:rsidRDefault="00974E84" w:rsidP="00974E84">
      <w:pPr>
        <w:pStyle w:val="p1"/>
        <w:spacing w:line="360" w:lineRule="auto"/>
        <w:rPr>
          <w:rFonts w:ascii="Times New Roman" w:hAnsi="Times New Roman"/>
          <w:color w:val="auto"/>
          <w:sz w:val="22"/>
          <w:szCs w:val="22"/>
        </w:rPr>
      </w:pPr>
    </w:p>
    <w:p w14:paraId="40335844"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 xml:space="preserve">In the empirical section that follows we also make use of a monetary event window. This is obtained as the union of the announcement and press conference windows. In the pre Super Thursday sample, this translates into an increased number of daily events, due to the announcement and press conference happening on different days over that sample. In the </w:t>
      </w:r>
      <w:proofErr w:type="spellStart"/>
      <w:r w:rsidRPr="00E7256C">
        <w:rPr>
          <w:rFonts w:ascii="Times New Roman" w:hAnsi="Times New Roman"/>
          <w:color w:val="auto"/>
          <w:sz w:val="22"/>
          <w:szCs w:val="22"/>
        </w:rPr>
        <w:t>post Super</w:t>
      </w:r>
      <w:proofErr w:type="spellEnd"/>
      <w:r w:rsidRPr="00E7256C">
        <w:rPr>
          <w:rFonts w:ascii="Times New Roman" w:hAnsi="Times New Roman"/>
          <w:color w:val="auto"/>
          <w:sz w:val="22"/>
          <w:szCs w:val="22"/>
        </w:rPr>
        <w:t xml:space="preserve"> Thursday sample, the monetary event window yields the sum of the price movements across the two windows, which since 2015 happen on the same day.</w:t>
      </w:r>
    </w:p>
    <w:p w14:paraId="0CCE1175" w14:textId="77777777" w:rsidR="00974E84" w:rsidRPr="00E7256C" w:rsidRDefault="00974E84" w:rsidP="00974E84">
      <w:pPr>
        <w:pStyle w:val="p1"/>
        <w:spacing w:line="360" w:lineRule="auto"/>
        <w:jc w:val="center"/>
        <w:rPr>
          <w:rFonts w:ascii="Times New Roman" w:hAnsi="Times New Roman"/>
          <w:color w:val="auto"/>
          <w:sz w:val="22"/>
          <w:szCs w:val="22"/>
        </w:rPr>
      </w:pPr>
      <w:r w:rsidRPr="00E7256C">
        <w:rPr>
          <w:rFonts w:ascii="Times New Roman" w:hAnsi="Times New Roman"/>
          <w:noProof/>
          <w:color w:val="auto"/>
          <w:sz w:val="22"/>
          <w:szCs w:val="22"/>
        </w:rPr>
        <w:lastRenderedPageBreak/>
        <w:drawing>
          <wp:inline distT="0" distB="0" distL="0" distR="0" wp14:anchorId="1E823AC2" wp14:editId="0514F494">
            <wp:extent cx="3177915" cy="3118499"/>
            <wp:effectExtent l="0" t="0" r="0" b="5715"/>
            <wp:docPr id="1685080489" name="Picture 1" descr="A diagram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80489" name="Picture 1" descr="A diagram of a window&#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82639" cy="3123134"/>
                    </a:xfrm>
                    <a:prstGeom prst="rect">
                      <a:avLst/>
                    </a:prstGeom>
                  </pic:spPr>
                </pic:pic>
              </a:graphicData>
            </a:graphic>
          </wp:inline>
        </w:drawing>
      </w:r>
    </w:p>
    <w:p w14:paraId="5880666E"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 xml:space="preserve">Surprise = post event price – pre event price </w:t>
      </w:r>
    </w:p>
    <w:p w14:paraId="50E67B40"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where the prices are medians within small windows before and after the event.</w:t>
      </w:r>
    </w:p>
    <w:p w14:paraId="351338AB"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p>
    <w:p w14:paraId="3D71B99C"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p>
    <w:p w14:paraId="4EEA6612" w14:textId="77777777" w:rsidR="00974E84" w:rsidRDefault="00974E84" w:rsidP="00974E84">
      <w:pPr>
        <w:rPr>
          <w:rFonts w:ascii="Times New Roman" w:hAnsi="Times New Roman" w:cs="Times New Roman"/>
          <w:sz w:val="22"/>
          <w:szCs w:val="22"/>
        </w:rPr>
      </w:pPr>
      <w:r>
        <w:rPr>
          <w:rFonts w:ascii="Times New Roman" w:hAnsi="Times New Roman" w:cs="Times New Roman"/>
          <w:sz w:val="22"/>
          <w:szCs w:val="22"/>
        </w:rPr>
        <w:br w:type="page"/>
      </w:r>
    </w:p>
    <w:p w14:paraId="115A968F" w14:textId="77777777" w:rsidR="00974E84" w:rsidRPr="00E7256C" w:rsidRDefault="00974E84" w:rsidP="00974E84">
      <w:pPr>
        <w:spacing w:after="0" w:line="360" w:lineRule="auto"/>
        <w:rPr>
          <w:rFonts w:ascii="Times New Roman" w:hAnsi="Times New Roman" w:cs="Times New Roman"/>
          <w:sz w:val="22"/>
          <w:szCs w:val="22"/>
        </w:rPr>
      </w:pPr>
      <w:r w:rsidRPr="00E7256C">
        <w:rPr>
          <w:rFonts w:ascii="Times New Roman" w:hAnsi="Times New Roman" w:cs="Times New Roman"/>
          <w:sz w:val="22"/>
          <w:szCs w:val="22"/>
        </w:rPr>
        <w:lastRenderedPageBreak/>
        <w:t xml:space="preserve">High-frequency surprises in asset prices that are directly linked to monetary policy expectations — such as e.g. overnight index swaps (OIS) or interest rate futures — allow us to map the degree to which the monetary policy event triggered a revision in market-based expectations about the path of policy. Surprises in other asset prices, such as the stock market index or the exchange rate, capture the response of these markets to the decisions. Taken in conjunction, the monetary policy surprises from different asset prices allow to gauge how markets interpret the monetary policy decisions. For example, an easing surprise in OIS rates — which can result from the policy rate being lowered by more than expected, or it being hiked by less than expected — can be accompanied by either positive or negative surprises in the stock market. </w:t>
      </w:r>
      <w:proofErr w:type="spellStart"/>
      <w:r w:rsidRPr="00E7256C">
        <w:rPr>
          <w:rStyle w:val="s1"/>
          <w:rFonts w:ascii="Times New Roman" w:hAnsi="Times New Roman" w:cs="Times New Roman"/>
          <w:color w:val="auto"/>
          <w:sz w:val="22"/>
          <w:szCs w:val="22"/>
        </w:rPr>
        <w:t>Jaroc</w:t>
      </w:r>
      <w:r w:rsidRPr="00E7256C">
        <w:rPr>
          <w:rStyle w:val="s1"/>
          <w:rFonts w:ascii="Times New Roman" w:eastAsiaTheme="majorEastAsia" w:hAnsi="Times New Roman" w:cs="Times New Roman"/>
          <w:color w:val="auto"/>
          <w:sz w:val="22"/>
          <w:szCs w:val="22"/>
        </w:rPr>
        <w:t>in</w:t>
      </w:r>
      <w:r w:rsidRPr="00E7256C">
        <w:rPr>
          <w:rStyle w:val="s1"/>
          <w:rFonts w:ascii="Times New Roman" w:hAnsi="Times New Roman" w:cs="Times New Roman"/>
          <w:color w:val="auto"/>
          <w:sz w:val="22"/>
          <w:szCs w:val="22"/>
        </w:rPr>
        <w:t>ski</w:t>
      </w:r>
      <w:proofErr w:type="spellEnd"/>
      <w:r w:rsidRPr="00E7256C">
        <w:rPr>
          <w:rStyle w:val="s1"/>
          <w:rFonts w:ascii="Times New Roman" w:hAnsi="Times New Roman" w:cs="Times New Roman"/>
          <w:color w:val="auto"/>
          <w:sz w:val="22"/>
          <w:szCs w:val="22"/>
        </w:rPr>
        <w:t xml:space="preserve"> and Karadi </w:t>
      </w:r>
      <w:r w:rsidRPr="00E7256C">
        <w:rPr>
          <w:rFonts w:ascii="Times New Roman" w:hAnsi="Times New Roman" w:cs="Times New Roman"/>
          <w:sz w:val="22"/>
          <w:szCs w:val="22"/>
        </w:rPr>
        <w:t>(</w:t>
      </w:r>
      <w:r w:rsidRPr="00E7256C">
        <w:rPr>
          <w:rStyle w:val="s1"/>
          <w:rFonts w:ascii="Times New Roman" w:hAnsi="Times New Roman" w:cs="Times New Roman"/>
          <w:color w:val="auto"/>
          <w:sz w:val="22"/>
          <w:szCs w:val="22"/>
        </w:rPr>
        <w:t>2020</w:t>
      </w:r>
      <w:r w:rsidRPr="00E7256C">
        <w:rPr>
          <w:rFonts w:ascii="Times New Roman" w:hAnsi="Times New Roman" w:cs="Times New Roman"/>
          <w:sz w:val="22"/>
          <w:szCs w:val="22"/>
        </w:rPr>
        <w:t>) interpret the first case as a conventional monetary policy shock, while attributing the second to information effects, that is, to the central bank implicitly revealing information about deteriorating conditions ahead.</w:t>
      </w:r>
    </w:p>
    <w:p w14:paraId="5B4EB381" w14:textId="77777777" w:rsidR="00974E84" w:rsidRPr="00E7256C" w:rsidRDefault="00974E84" w:rsidP="00974E84">
      <w:pPr>
        <w:pStyle w:val="p1"/>
        <w:spacing w:line="360" w:lineRule="auto"/>
        <w:rPr>
          <w:rFonts w:ascii="Times New Roman" w:hAnsi="Times New Roman"/>
          <w:color w:val="auto"/>
          <w:sz w:val="22"/>
          <w:szCs w:val="22"/>
        </w:rPr>
      </w:pPr>
    </w:p>
    <w:p w14:paraId="7549479B" w14:textId="77777777" w:rsidR="00974E84" w:rsidRPr="00E7256C" w:rsidRDefault="00974E84" w:rsidP="00974E84">
      <w:pPr>
        <w:pStyle w:val="p1"/>
        <w:spacing w:line="360" w:lineRule="auto"/>
        <w:rPr>
          <w:rFonts w:ascii="Times New Roman" w:hAnsi="Times New Roman"/>
          <w:color w:val="auto"/>
          <w:sz w:val="22"/>
          <w:szCs w:val="22"/>
        </w:rPr>
      </w:pPr>
    </w:p>
    <w:p w14:paraId="174D0D28"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Increasingly, and particularly since the policy rate reached its effective lower bound following the financial crisis of 2008, the MPC has conducted monetary policy through different tools designed to affect specific segments of the yield curve. While conventional Bank Rate policy was aimed predominantly at the short-end, alternative interventions such as forward guidance and QE aim at affecting rates expectations at substantially longer maturities.</w:t>
      </w:r>
    </w:p>
    <w:p w14:paraId="01FE7726" w14:textId="77777777" w:rsidR="00974E84" w:rsidRPr="00E7256C" w:rsidRDefault="00974E84" w:rsidP="00974E84">
      <w:pPr>
        <w:pStyle w:val="p1"/>
        <w:spacing w:line="360" w:lineRule="auto"/>
        <w:rPr>
          <w:rFonts w:ascii="Times New Roman" w:hAnsi="Times New Roman"/>
          <w:color w:val="auto"/>
          <w:sz w:val="22"/>
          <w:szCs w:val="22"/>
        </w:rPr>
      </w:pPr>
    </w:p>
    <w:p w14:paraId="1A2DA873"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Gürkaynak et al. (2005) showed how structural factors could be used to summarise the market reaction to policy decisions at different points of the maturity spectrum. They identified a Target factor that summarised the immediate policy rate decision, and a Path factor that instead captured information about the future path of policy, thus embedding both implicit and explicit forward guidance. Swanson (2021) further developed this intuition to capture the effects of QE announcements.</w:t>
      </w:r>
    </w:p>
    <w:p w14:paraId="64A40DBB" w14:textId="77777777" w:rsidR="00974E84" w:rsidRPr="00E7256C" w:rsidRDefault="00974E84" w:rsidP="00974E84">
      <w:pPr>
        <w:pStyle w:val="p1"/>
        <w:spacing w:line="360" w:lineRule="auto"/>
        <w:rPr>
          <w:rFonts w:ascii="Times New Roman" w:hAnsi="Times New Roman"/>
          <w:color w:val="auto"/>
          <w:sz w:val="22"/>
          <w:szCs w:val="22"/>
        </w:rPr>
      </w:pPr>
    </w:p>
    <w:p w14:paraId="04AFBA7F"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To estimate the UK-specific factors, we apply the model in Swanson (2021) to monetary surprises in the first four short sterling futures, and in the 2, 5 and 10-year gilt yields. The estimation proceeds in two steps. First, principal components are used to summarise the common variation in the monetary surprises in the seven asset prices.15 Second, additional identifying restrictions are imposed to pin down the structural factors and facilitate their interpretation. Out of the three estimated factors, only the first one (Target) is allowed to load on the first short sterling futures. To distinguish between the second (Path) and third (QE) factors, the variance of the latter is minimised over the pre-2009 sample. The factors are orthogonal to one another by construction.</w:t>
      </w:r>
    </w:p>
    <w:p w14:paraId="64923B67" w14:textId="77777777" w:rsidR="00974E84" w:rsidRPr="00E7256C" w:rsidRDefault="00974E84" w:rsidP="00974E84">
      <w:pPr>
        <w:pStyle w:val="ListParagraph"/>
        <w:numPr>
          <w:ilvl w:val="0"/>
          <w:numId w:val="3"/>
        </w:numPr>
        <w:spacing w:after="0" w:line="360" w:lineRule="auto"/>
        <w:rPr>
          <w:rStyle w:val="bzpyqfadein"/>
          <w:rFonts w:ascii="Times New Roman" w:hAnsi="Times New Roman" w:cs="Times New Roman"/>
          <w:sz w:val="22"/>
          <w:szCs w:val="22"/>
        </w:rPr>
      </w:pPr>
      <w:r w:rsidRPr="00E7256C">
        <w:rPr>
          <w:rFonts w:ascii="Times New Roman" w:eastAsia="Times New Roman" w:hAnsi="Times New Roman" w:cs="Times New Roman"/>
          <w:kern w:val="0"/>
          <w:sz w:val="22"/>
          <w:szCs w:val="22"/>
          <w:lang w:eastAsia="en-GB"/>
          <w14:ligatures w14:val="none"/>
        </w:rPr>
        <w:lastRenderedPageBreak/>
        <w:t xml:space="preserve">They run PCA on </w:t>
      </w:r>
      <w:r w:rsidRPr="00E7256C">
        <w:rPr>
          <w:rStyle w:val="bzpyqfadein"/>
          <w:rFonts w:ascii="Times New Roman" w:hAnsi="Times New Roman" w:cs="Times New Roman"/>
          <w:sz w:val="22"/>
          <w:szCs w:val="22"/>
        </w:rPr>
        <w:t>Short-term</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rate</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expectations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(3m),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(6m),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(9m), Short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sterling</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futures (12m)) and Longer-term</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rates</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2-year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5-year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r w:rsidRPr="00E7256C">
        <w:rPr>
          <w:rFonts w:ascii="Times New Roman" w:hAnsi="Times New Roman" w:cs="Times New Roman"/>
          <w:sz w:val="22"/>
          <w:szCs w:val="22"/>
        </w:rPr>
        <w:t xml:space="preserve">, </w:t>
      </w:r>
      <w:r w:rsidRPr="00E7256C">
        <w:rPr>
          <w:rStyle w:val="bzpyqfadein"/>
          <w:rFonts w:ascii="Times New Roman" w:hAnsi="Times New Roman" w:cs="Times New Roman"/>
          <w:sz w:val="22"/>
          <w:szCs w:val="22"/>
        </w:rPr>
        <w:t>10-year</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gilt</w:t>
      </w:r>
      <w:r w:rsidRPr="00E7256C">
        <w:rPr>
          <w:rStyle w:val="apple-converted-space"/>
          <w:rFonts w:ascii="Times New Roman" w:hAnsi="Times New Roman" w:cs="Times New Roman"/>
          <w:sz w:val="22"/>
          <w:szCs w:val="22"/>
        </w:rPr>
        <w:t> </w:t>
      </w:r>
      <w:r w:rsidRPr="00E7256C">
        <w:rPr>
          <w:rStyle w:val="bzpyqfadein"/>
          <w:rFonts w:ascii="Times New Roman" w:hAnsi="Times New Roman" w:cs="Times New Roman"/>
          <w:sz w:val="22"/>
          <w:szCs w:val="22"/>
        </w:rPr>
        <w:t>yield)</w:t>
      </w:r>
    </w:p>
    <w:p w14:paraId="58FDD122" w14:textId="77777777" w:rsidR="00974E84" w:rsidRPr="00E7256C" w:rsidRDefault="00974E84" w:rsidP="00974E84">
      <w:pPr>
        <w:pStyle w:val="ListParagraph"/>
        <w:numPr>
          <w:ilvl w:val="0"/>
          <w:numId w:val="3"/>
        </w:numPr>
        <w:spacing w:after="0" w:line="360" w:lineRule="auto"/>
        <w:rPr>
          <w:rFonts w:ascii="Times New Roman" w:eastAsia="Times New Roman" w:hAnsi="Times New Roman" w:cs="Times New Roman"/>
          <w:kern w:val="0"/>
          <w:sz w:val="22"/>
          <w:szCs w:val="22"/>
          <w:lang w:eastAsia="en-GB"/>
          <w14:ligatures w14:val="none"/>
        </w:rPr>
      </w:pPr>
      <w:r w:rsidRPr="00E7256C">
        <w:rPr>
          <w:rStyle w:val="bzpyqfadein"/>
          <w:rFonts w:ascii="Times New Roman" w:hAnsi="Times New Roman" w:cs="Times New Roman"/>
          <w:sz w:val="22"/>
          <w:szCs w:val="22"/>
        </w:rPr>
        <w:t xml:space="preserve">Then restrictions imposed: </w:t>
      </w:r>
      <w:r w:rsidRPr="00E7256C">
        <w:rPr>
          <w:rFonts w:ascii="Times New Roman" w:hAnsi="Times New Roman" w:cs="Times New Roman"/>
          <w:sz w:val="22"/>
          <w:szCs w:val="22"/>
        </w:rPr>
        <w:t>Only the Target factor is allowed to affect the shortest maturity future (3-month). Path factor affects medium maturities. QE factor – minimise variance before 2009 because QE did not exist.</w:t>
      </w:r>
    </w:p>
    <w:p w14:paraId="1C4CE2B7"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p>
    <w:p w14:paraId="4CA24665" w14:textId="77777777" w:rsidR="00974E84" w:rsidRPr="00E7256C" w:rsidRDefault="00974E84" w:rsidP="00974E84">
      <w:pPr>
        <w:spacing w:after="0" w:line="360" w:lineRule="auto"/>
        <w:rPr>
          <w:rFonts w:ascii="Times New Roman" w:eastAsia="Times New Roman" w:hAnsi="Times New Roman" w:cs="Times New Roman"/>
          <w:kern w:val="0"/>
          <w:sz w:val="22"/>
          <w:szCs w:val="22"/>
          <w:lang w:eastAsia="en-GB"/>
          <w14:ligatures w14:val="none"/>
        </w:rPr>
      </w:pPr>
      <w:r w:rsidRPr="00E7256C">
        <w:rPr>
          <w:rFonts w:ascii="Times New Roman" w:eastAsia="Times New Roman" w:hAnsi="Times New Roman" w:cs="Times New Roman"/>
          <w:kern w:val="0"/>
          <w:sz w:val="22"/>
          <w:szCs w:val="22"/>
          <w:lang w:eastAsia="en-GB"/>
          <w14:ligatures w14:val="none"/>
        </w:rPr>
        <w:t>BOE’s Target shocks capture short-term monetary policy in a somewhat broader sense relative to equivalent factors extracted for the Fed and the ECB. This is due to sufficiently liquid short-maturity interest rate futures contracts in the UK embedding a three-month maturity. Thus, a Bank Rate shock as defined in this paper has a broader connotation than in the US and EA</w:t>
      </w:r>
    </w:p>
    <w:p w14:paraId="08736836"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Press conferences so more similar to ECB than FED</w:t>
      </w:r>
    </w:p>
    <w:p w14:paraId="4E719916" w14:textId="77777777" w:rsidR="00974E84" w:rsidRPr="00E7256C" w:rsidRDefault="00974E84" w:rsidP="00974E84">
      <w:pPr>
        <w:pStyle w:val="p1"/>
        <w:spacing w:line="360" w:lineRule="auto"/>
        <w:rPr>
          <w:rFonts w:ascii="Times New Roman" w:hAnsi="Times New Roman"/>
          <w:color w:val="auto"/>
          <w:sz w:val="22"/>
          <w:szCs w:val="22"/>
        </w:rPr>
      </w:pPr>
    </w:p>
    <w:p w14:paraId="770AC70B" w14:textId="77777777" w:rsidR="00974E84" w:rsidRPr="00E7256C" w:rsidRDefault="00974E84" w:rsidP="00974E84">
      <w:pPr>
        <w:pStyle w:val="p1"/>
        <w:spacing w:line="360" w:lineRule="auto"/>
        <w:rPr>
          <w:rFonts w:ascii="Times New Roman" w:hAnsi="Times New Roman"/>
          <w:color w:val="auto"/>
          <w:sz w:val="22"/>
          <w:szCs w:val="22"/>
        </w:rPr>
      </w:pPr>
      <w:r w:rsidRPr="00E7256C">
        <w:rPr>
          <w:rFonts w:ascii="Times New Roman" w:hAnsi="Times New Roman"/>
          <w:color w:val="auto"/>
          <w:sz w:val="22"/>
          <w:szCs w:val="22"/>
        </w:rPr>
        <w:t>The largest readings of the Target factor are associated with the policy easing decisions taken in response to</w:t>
      </w:r>
      <w:r>
        <w:rPr>
          <w:rFonts w:ascii="Times New Roman" w:hAnsi="Times New Roman"/>
          <w:color w:val="auto"/>
          <w:sz w:val="22"/>
          <w:szCs w:val="22"/>
        </w:rPr>
        <w:t xml:space="preserve"> </w:t>
      </w:r>
      <w:r w:rsidRPr="00E7256C">
        <w:rPr>
          <w:rFonts w:ascii="Times New Roman" w:hAnsi="Times New Roman"/>
          <w:color w:val="auto"/>
          <w:sz w:val="22"/>
          <w:szCs w:val="22"/>
        </w:rPr>
        <w:t xml:space="preserve">the financial crisis of 2008, with the 150bps Bank Rate cut of November 2008 as the single largest observation in our sample. Large Target surprises tend to happen during meetings that are not associated with an IR/MPR publication. It is also worth noting that there is generally little variation in the Target factor during the press conferences. The largest observation of the Path and QE factors are instead more </w:t>
      </w:r>
      <w:proofErr w:type="gramStart"/>
      <w:r w:rsidRPr="00E7256C">
        <w:rPr>
          <w:rFonts w:ascii="Times New Roman" w:hAnsi="Times New Roman"/>
          <w:color w:val="auto"/>
          <w:sz w:val="22"/>
          <w:szCs w:val="22"/>
        </w:rPr>
        <w:t>recent, and</w:t>
      </w:r>
      <w:proofErr w:type="gramEnd"/>
      <w:r w:rsidRPr="00E7256C">
        <w:rPr>
          <w:rFonts w:ascii="Times New Roman" w:hAnsi="Times New Roman"/>
          <w:color w:val="auto"/>
          <w:sz w:val="22"/>
          <w:szCs w:val="22"/>
        </w:rPr>
        <w:t xml:space="preserve"> registered during the Covid pandemic and subsequent recovery. The largest Path surprise is February 2022, when it became clear that a hiking cycle had begun, and that the indicative Bank Rate threshold that the MPC had set to start reversing QE was nearer than previously thought. Very interestingly, the largest QE surprise does not correspond to the first QE round of 2009, which had been amply communicated in advance, and is instead associated with the additional £200 </w:t>
      </w:r>
      <w:proofErr w:type="spellStart"/>
      <w:r w:rsidRPr="00E7256C">
        <w:rPr>
          <w:rFonts w:ascii="Times New Roman" w:hAnsi="Times New Roman"/>
          <w:color w:val="auto"/>
          <w:sz w:val="22"/>
          <w:szCs w:val="22"/>
        </w:rPr>
        <w:t>billion</w:t>
      </w:r>
      <w:proofErr w:type="spellEnd"/>
      <w:r w:rsidRPr="00E7256C">
        <w:rPr>
          <w:rFonts w:ascii="Times New Roman" w:hAnsi="Times New Roman"/>
          <w:color w:val="auto"/>
          <w:sz w:val="22"/>
          <w:szCs w:val="22"/>
        </w:rPr>
        <w:t xml:space="preserve"> of asset purchases that were announced in March of 2020 after the UK economy had entered its first lockdown. </w:t>
      </w:r>
    </w:p>
    <w:p w14:paraId="7382D9F8" w14:textId="77777777" w:rsidR="00974E84" w:rsidRPr="00E7256C" w:rsidRDefault="00974E84" w:rsidP="00974E84">
      <w:pPr>
        <w:pStyle w:val="p1"/>
        <w:spacing w:line="360" w:lineRule="auto"/>
        <w:rPr>
          <w:rFonts w:ascii="Times New Roman" w:hAnsi="Times New Roman"/>
          <w:color w:val="auto"/>
          <w:sz w:val="22"/>
          <w:szCs w:val="22"/>
        </w:rPr>
      </w:pPr>
    </w:p>
    <w:p w14:paraId="7DF0EB5D" w14:textId="77777777" w:rsidR="00974E84" w:rsidRPr="008A676F" w:rsidRDefault="00974E84" w:rsidP="00974E84">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 xml:space="preserve">UK short-term rate surprises tend to be </w:t>
      </w:r>
      <w:proofErr w:type="gramStart"/>
      <w:r w:rsidRPr="008A676F">
        <w:rPr>
          <w:rFonts w:ascii="Times New Roman" w:hAnsi="Times New Roman"/>
          <w:color w:val="auto"/>
          <w:sz w:val="22"/>
          <w:szCs w:val="22"/>
        </w:rPr>
        <w:t>heavier-tailed</w:t>
      </w:r>
      <w:proofErr w:type="gramEnd"/>
      <w:r w:rsidRPr="008A676F">
        <w:rPr>
          <w:rFonts w:ascii="Times New Roman" w:hAnsi="Times New Roman"/>
          <w:color w:val="auto"/>
          <w:sz w:val="22"/>
          <w:szCs w:val="22"/>
        </w:rPr>
        <w:t xml:space="preserve"> than in the US and the EA. This is especially true in the period around the financial crisis of 2008, where the UK registered the sharpest moves in the front-end, potentially reflecting somewhat higher uncertainty around policy relative to the other regions. Conversely, large Path and QE surprises seem to be more prevalent for the US and EA respectively, which may reflect different combinations of policy tools used by the three central banks.</w:t>
      </w:r>
    </w:p>
    <w:p w14:paraId="4987F46D" w14:textId="77777777" w:rsidR="00EE2E42" w:rsidRDefault="0030785C" w:rsidP="00EE2E42">
      <w:pPr>
        <w:rPr>
          <w:rFonts w:ascii="Times New Roman" w:hAnsi="Times New Roman" w:cs="Times New Roman"/>
          <w:b/>
          <w:bCs/>
          <w:kern w:val="0"/>
        </w:rPr>
      </w:pPr>
      <w:r>
        <w:rPr>
          <w:rFonts w:ascii="Times New Roman" w:hAnsi="Times New Roman" w:cs="Times New Roman"/>
          <w:b/>
          <w:bCs/>
          <w:kern w:val="0"/>
        </w:rPr>
        <w:br w:type="page"/>
      </w:r>
    </w:p>
    <w:p w14:paraId="7199D597" w14:textId="63D522EE" w:rsidR="00EE2E42" w:rsidRPr="00EE2E42" w:rsidRDefault="00EE2E42" w:rsidP="00EE2E42">
      <w:pPr>
        <w:pStyle w:val="Heading1"/>
        <w:numPr>
          <w:ilvl w:val="0"/>
          <w:numId w:val="30"/>
        </w:numPr>
      </w:pPr>
      <w:bookmarkStart w:id="3" w:name="_Toc227839910"/>
      <w:r>
        <w:lastRenderedPageBreak/>
        <w:t xml:space="preserve">Data – </w:t>
      </w:r>
      <w:r w:rsidR="00BD711B">
        <w:t>2.5</w:t>
      </w:r>
      <w:r>
        <w:t xml:space="preserve"> pages</w:t>
      </w:r>
      <w:bookmarkEnd w:id="3"/>
      <w:r>
        <w:t xml:space="preserve"> </w:t>
      </w:r>
    </w:p>
    <w:p w14:paraId="6B6C3F2F" w14:textId="77777777" w:rsidR="00EE2E42" w:rsidRDefault="00EE2E42" w:rsidP="00EE2E42">
      <w:pPr>
        <w:rPr>
          <w:rFonts w:ascii="Times New Roman" w:hAnsi="Times New Roman" w:cs="Times New Roman"/>
          <w:b/>
          <w:bCs/>
          <w:kern w:val="0"/>
        </w:rPr>
      </w:pPr>
    </w:p>
    <w:p w14:paraId="3E0159CC" w14:textId="35A3E3F0" w:rsidR="00EE2E42" w:rsidRPr="00EE2E42" w:rsidRDefault="00EE2E42" w:rsidP="00EE2E42">
      <w:pPr>
        <w:rPr>
          <w:rFonts w:ascii="Times New Roman" w:hAnsi="Times New Roman" w:cs="Times New Roman"/>
          <w:b/>
          <w:bCs/>
          <w:kern w:val="0"/>
        </w:rPr>
      </w:pPr>
      <w:r>
        <w:rPr>
          <w:rStyle w:val="Strong"/>
          <w:color w:val="000000"/>
        </w:rPr>
        <w:t>4.1 Monetary policy shocks (~1 pp).</w:t>
      </w:r>
      <w:r>
        <w:rPr>
          <w:rStyle w:val="apple-converted-space"/>
          <w:color w:val="000000"/>
        </w:rPr>
        <w:t> </w:t>
      </w:r>
      <w:r>
        <w:rPr>
          <w:color w:val="000000"/>
        </w:rPr>
        <w:t xml:space="preserve">UKMPESD source, file reference, factors sheet, the three factors (Target/Path/QE), the identification assumption (high-frequency window around MPC events), the sign normalisation (positive = tightening), and the </w:t>
      </w:r>
      <w:proofErr w:type="spellStart"/>
      <w:r>
        <w:rPr>
          <w:color w:val="000000"/>
        </w:rPr>
        <w:t>pos</w:t>
      </w:r>
      <w:proofErr w:type="spellEnd"/>
      <w:r>
        <w:rPr>
          <w:color w:val="000000"/>
        </w:rPr>
        <w:t>/neg split you apply (define</w:t>
      </w:r>
      <w:r>
        <w:rPr>
          <w:rStyle w:val="apple-converted-space"/>
          <w:color w:val="000000"/>
        </w:rPr>
        <w:t> </w:t>
      </w:r>
      <w:proofErr w:type="spellStart"/>
      <w:r>
        <w:rPr>
          <w:rStyle w:val="HTMLCode"/>
          <w:rFonts w:eastAsiaTheme="minorHAnsi"/>
          <w:color w:val="000000"/>
        </w:rPr>
        <w:t>shock_pos</w:t>
      </w:r>
      <w:proofErr w:type="spellEnd"/>
      <w:r>
        <w:rPr>
          <w:rStyle w:val="HTMLCode"/>
          <w:rFonts w:eastAsiaTheme="minorHAnsi"/>
          <w:color w:val="000000"/>
        </w:rPr>
        <w:t xml:space="preserve"> = max(shock,0)</w:t>
      </w:r>
      <w:r>
        <w:rPr>
          <w:color w:val="000000"/>
        </w:rPr>
        <w:t>,</w:t>
      </w:r>
      <w:r>
        <w:rPr>
          <w:rStyle w:val="apple-converted-space"/>
          <w:color w:val="000000"/>
        </w:rPr>
        <w:t> </w:t>
      </w:r>
      <w:proofErr w:type="spellStart"/>
      <w:r>
        <w:rPr>
          <w:rStyle w:val="HTMLCode"/>
          <w:rFonts w:eastAsiaTheme="minorHAnsi"/>
          <w:color w:val="000000"/>
        </w:rPr>
        <w:t>shock_neg</w:t>
      </w:r>
      <w:proofErr w:type="spellEnd"/>
      <w:r>
        <w:rPr>
          <w:rStyle w:val="HTMLCode"/>
          <w:rFonts w:eastAsiaTheme="minorHAnsi"/>
          <w:color w:val="000000"/>
        </w:rPr>
        <w:t xml:space="preserve"> = min(shock,0)</w:t>
      </w:r>
      <w:r>
        <w:rPr>
          <w:color w:val="000000"/>
        </w:rPr>
        <w:t xml:space="preserve">). State the 419 raw events → 376 </w:t>
      </w:r>
      <w:proofErr w:type="gramStart"/>
      <w:r>
        <w:rPr>
          <w:color w:val="000000"/>
        </w:rPr>
        <w:t>daily-grouped</w:t>
      </w:r>
      <w:proofErr w:type="gramEnd"/>
      <w:r>
        <w:rPr>
          <w:color w:val="000000"/>
        </w:rPr>
        <w:t xml:space="preserve"> shock event dates, sample 1997-06-06 to 2025-11-06. State explicitly: zero-imputation on non-event days.</w:t>
      </w:r>
    </w:p>
    <w:p w14:paraId="5DE4E9A3" w14:textId="77777777" w:rsidR="00EE2E42" w:rsidRPr="0021032C" w:rsidRDefault="00EE2E42" w:rsidP="00EE2E42">
      <w:p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Shocks:</w:t>
      </w:r>
    </w:p>
    <w:p w14:paraId="31E3F173" w14:textId="77777777" w:rsidR="00EE2E42" w:rsidRPr="00F47DB0"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F47DB0">
        <w:rPr>
          <w:rFonts w:ascii="Times New Roman" w:hAnsi="Times New Roman" w:cs="Times New Roman"/>
          <w:color w:val="000000"/>
          <w:sz w:val="22"/>
          <w:szCs w:val="22"/>
        </w:rPr>
        <w:t xml:space="preserve">Target = short rate surprise (strongest in terms of </w:t>
      </w:r>
      <w:r w:rsidRPr="00F47DB0">
        <w:rPr>
          <w:rFonts w:ascii="Times New Roman" w:hAnsi="Times New Roman" w:cs="Times New Roman"/>
          <w:kern w:val="0"/>
          <w:sz w:val="22"/>
          <w:szCs w:val="22"/>
        </w:rPr>
        <w:t>in terms of transmission</w:t>
      </w:r>
      <w:r>
        <w:rPr>
          <w:rFonts w:ascii="Times New Roman" w:hAnsi="Times New Roman" w:cs="Times New Roman"/>
          <w:kern w:val="0"/>
          <w:sz w:val="22"/>
          <w:szCs w:val="22"/>
        </w:rPr>
        <w:t xml:space="preserve"> in equity) </w:t>
      </w:r>
    </w:p>
    <w:p w14:paraId="10B29D73"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Path = forward guidance shock</w:t>
      </w:r>
    </w:p>
    <w:p w14:paraId="2F4F01FF"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color w:val="000000"/>
          <w:sz w:val="22"/>
          <w:szCs w:val="22"/>
        </w:rPr>
        <w:t>QE = long-term asset purchase shock</w:t>
      </w:r>
    </w:p>
    <w:p w14:paraId="050C567A" w14:textId="77777777" w:rsidR="00EE2E42" w:rsidRPr="0021032C" w:rsidRDefault="00EE2E42" w:rsidP="00EE2E42">
      <w:pPr>
        <w:autoSpaceDE w:val="0"/>
        <w:autoSpaceDN w:val="0"/>
        <w:adjustRightInd w:val="0"/>
        <w:spacing w:after="0" w:line="360" w:lineRule="auto"/>
        <w:rPr>
          <w:rFonts w:ascii="Times New Roman" w:hAnsi="Times New Roman" w:cs="Times New Roman"/>
          <w:kern w:val="0"/>
          <w:sz w:val="22"/>
          <w:szCs w:val="22"/>
        </w:rPr>
      </w:pPr>
    </w:p>
    <w:p w14:paraId="455E3AB2" w14:textId="77777777" w:rsidR="00EE2E42" w:rsidRPr="0021032C" w:rsidRDefault="00EE2E42" w:rsidP="00EE2E42">
      <w:p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PCA of</w:t>
      </w:r>
      <w:r w:rsidRPr="0021032C">
        <w:rPr>
          <w:rFonts w:ascii="Times New Roman" w:hAnsi="Times New Roman" w:cs="Times New Roman"/>
          <w:kern w:val="0"/>
          <w:sz w:val="22"/>
          <w:szCs w:val="22"/>
        </w:rPr>
        <w:t xml:space="preserve"> (BoE paper deals with instant reactions – price after minus price before):</w:t>
      </w:r>
    </w:p>
    <w:p w14:paraId="4AFE973B"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 xml:space="preserve">3M LIBOR (London Interbank Offered Rate) quarterly contracts: </w:t>
      </w:r>
      <w:r w:rsidRPr="0021032C">
        <w:rPr>
          <w:rStyle w:val="bzpyqfadein"/>
          <w:rFonts w:ascii="Times New Roman" w:hAnsi="Times New Roman" w:cs="Times New Roman"/>
          <w:color w:val="000000"/>
          <w:sz w:val="22"/>
          <w:szCs w:val="22"/>
        </w:rPr>
        <w:t>If</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LIBOR (3-month</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GBP) =</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 xml:space="preserve">5% =&gt;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could</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borrow</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3-month</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mone</w:t>
      </w:r>
      <w:r w:rsidRPr="0021032C">
        <w:rPr>
          <w:rStyle w:val="apple-converted-space"/>
          <w:rFonts w:ascii="Times New Roman" w:eastAsiaTheme="majorEastAsia" w:hAnsi="Times New Roman" w:cs="Times New Roman"/>
          <w:color w:val="000000"/>
          <w:sz w:val="22"/>
          <w:szCs w:val="22"/>
        </w:rPr>
        <w:t xml:space="preserve">y </w:t>
      </w:r>
      <w:r w:rsidRPr="0021032C">
        <w:rPr>
          <w:rStyle w:val="bzpyqfadein"/>
          <w:rFonts w:ascii="Times New Roman" w:eastAsiaTheme="majorEastAsia" w:hAnsi="Times New Roman" w:cs="Times New Roman"/>
          <w:color w:val="000000"/>
          <w:sz w:val="22"/>
          <w:szCs w:val="22"/>
        </w:rPr>
        <w:t>from</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other</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at</w:t>
      </w:r>
      <w:r w:rsidRPr="0021032C">
        <w:rPr>
          <w:rStyle w:val="apple-converted-space"/>
          <w:rFonts w:ascii="Times New Roman" w:eastAsiaTheme="majorEastAsia" w:hAnsi="Times New Roman" w:cs="Times New Roman"/>
          <w:color w:val="000000"/>
          <w:sz w:val="22"/>
          <w:szCs w:val="22"/>
        </w:rPr>
        <w:t xml:space="preserve"> </w:t>
      </w:r>
      <w:r w:rsidRPr="0021032C">
        <w:rPr>
          <w:rStyle w:val="bzpyqfadein"/>
          <w:rFonts w:ascii="Times New Roman" w:eastAsiaTheme="majorEastAsia" w:hAnsi="Times New Roman" w:cs="Times New Roman"/>
          <w:color w:val="000000"/>
          <w:sz w:val="22"/>
          <w:szCs w:val="22"/>
        </w:rPr>
        <w:t>about 5%.</w:t>
      </w:r>
    </w:p>
    <w:p w14:paraId="23FC80BC" w14:textId="77777777" w:rsidR="00EE2E42" w:rsidRPr="00972F1A" w:rsidRDefault="00EE2E42" w:rsidP="00EE2E42">
      <w:pPr>
        <w:pStyle w:val="ListParagraph"/>
        <w:numPr>
          <w:ilvl w:val="0"/>
          <w:numId w:val="5"/>
        </w:numPr>
        <w:autoSpaceDE w:val="0"/>
        <w:autoSpaceDN w:val="0"/>
        <w:adjustRightInd w:val="0"/>
        <w:spacing w:after="0" w:line="360" w:lineRule="auto"/>
        <w:rPr>
          <w:rStyle w:val="bzpyqfadein"/>
          <w:rFonts w:ascii="Times New Roman" w:hAnsi="Times New Roman" w:cs="Times New Roman"/>
          <w:kern w:val="0"/>
          <w:sz w:val="22"/>
          <w:szCs w:val="22"/>
        </w:rPr>
      </w:pPr>
      <w:r w:rsidRPr="0021032C">
        <w:rPr>
          <w:rFonts w:ascii="Times New Roman" w:hAnsi="Times New Roman" w:cs="Times New Roman"/>
          <w:kern w:val="0"/>
          <w:sz w:val="22"/>
          <w:szCs w:val="22"/>
        </w:rPr>
        <w:t>3M SONIA (Sterling Overnight Index Average) quarterly contracts: 3 Month SONIA futures contract [</w:t>
      </w:r>
      <w:r w:rsidRPr="0021032C">
        <w:rPr>
          <w:rStyle w:val="bzpyqfadein"/>
          <w:rFonts w:ascii="Times New Roman" w:hAnsi="Times New Roman" w:cs="Times New Roman"/>
          <w:color w:val="000000"/>
          <w:sz w:val="22"/>
          <w:szCs w:val="22"/>
        </w:rPr>
        <w:t>If</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SONIA today =</w:t>
      </w:r>
      <w:r w:rsidRPr="0021032C">
        <w:rPr>
          <w:rStyle w:val="apple-converted-space"/>
          <w:rFonts w:ascii="Times New Roman" w:hAnsi="Times New Roman" w:cs="Times New Roman"/>
          <w:color w:val="000000"/>
          <w:sz w:val="22"/>
          <w:szCs w:val="22"/>
        </w:rPr>
        <w:t> </w:t>
      </w:r>
      <w:r w:rsidRPr="0021032C">
        <w:rPr>
          <w:rStyle w:val="bzpyqfadein"/>
          <w:rFonts w:ascii="Times New Roman" w:hAnsi="Times New Roman" w:cs="Times New Roman"/>
          <w:color w:val="000000"/>
          <w:sz w:val="22"/>
          <w:szCs w:val="22"/>
        </w:rPr>
        <w:t xml:space="preserve">5% =&gt; </w:t>
      </w:r>
      <w:r w:rsidRPr="0021032C">
        <w:rPr>
          <w:rStyle w:val="bzpyqfadein"/>
          <w:rFonts w:ascii="Times New Roman" w:eastAsiaTheme="majorEastAsia" w:hAnsi="Times New Roman" w:cs="Times New Roman"/>
          <w:color w:val="000000"/>
          <w:sz w:val="22"/>
          <w:szCs w:val="22"/>
        </w:rPr>
        <w:t>banks</w:t>
      </w:r>
      <w:r w:rsidRPr="0021032C">
        <w:rPr>
          <w:rStyle w:val="apple-converted-space"/>
          <w:rFonts w:ascii="Times New Roman" w:eastAsiaTheme="majorEastAsia" w:hAnsi="Times New Roman" w:cs="Times New Roman"/>
          <w:color w:val="000000"/>
          <w:sz w:val="22"/>
          <w:szCs w:val="22"/>
        </w:rPr>
        <w:t> </w:t>
      </w:r>
      <w:r w:rsidRPr="0021032C">
        <w:rPr>
          <w:rStyle w:val="bzpyqfadein"/>
          <w:rFonts w:ascii="Times New Roman" w:eastAsiaTheme="majorEastAsia" w:hAnsi="Times New Roman" w:cs="Times New Roman"/>
          <w:color w:val="000000"/>
          <w:sz w:val="22"/>
          <w:szCs w:val="22"/>
        </w:rPr>
        <w:t xml:space="preserve">are actually lending overnight funds at around 4.25% - payoff of 3M future depends on average price over the 3 month period in question] – moves very closely with BoE policy rate </w:t>
      </w:r>
    </w:p>
    <w:p w14:paraId="28E37F05" w14:textId="77777777" w:rsidR="00EE2E42" w:rsidRPr="00972F1A" w:rsidRDefault="00EE2E42" w:rsidP="00EE2E42">
      <w:pPr>
        <w:pStyle w:val="ListParagraph"/>
        <w:numPr>
          <w:ilvl w:val="1"/>
          <w:numId w:val="5"/>
        </w:numPr>
        <w:autoSpaceDE w:val="0"/>
        <w:autoSpaceDN w:val="0"/>
        <w:adjustRightInd w:val="0"/>
        <w:spacing w:after="0" w:line="360" w:lineRule="auto"/>
        <w:rPr>
          <w:rFonts w:ascii="Times New Roman" w:hAnsi="Times New Roman" w:cs="Times New Roman"/>
          <w:kern w:val="0"/>
          <w:sz w:val="22"/>
          <w:szCs w:val="22"/>
        </w:rPr>
      </w:pPr>
      <w:r w:rsidRPr="00972F1A">
        <w:rPr>
          <w:rFonts w:ascii="Times New Roman" w:hAnsi="Times New Roman" w:cs="Times New Roman"/>
          <w:kern w:val="0"/>
          <w:sz w:val="22"/>
          <w:szCs w:val="22"/>
        </w:rPr>
        <w:t>LIBOR and SONIA considered most liquid measure of interest rate expectations in UK</w:t>
      </w:r>
    </w:p>
    <w:p w14:paraId="3A8CAAAC" w14:textId="77777777" w:rsidR="00EE2E42"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OIS (Overnight Index Swap) Rate: betting on average SONIA over next period (specified). Because expected SONIA indicates expected Bank Rate, we then have that OIS Rate indicates expected future policy rate.</w:t>
      </w:r>
    </w:p>
    <w:p w14:paraId="417C69BE" w14:textId="77777777" w:rsidR="00EE2E42" w:rsidRDefault="00EE2E42" w:rsidP="00EE2E42">
      <w:pPr>
        <w:pStyle w:val="ListParagraph"/>
        <w:numPr>
          <w:ilvl w:val="1"/>
          <w:numId w:val="5"/>
        </w:num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More directly linked to Bank Rates expectations but only available from 2008</w:t>
      </w:r>
    </w:p>
    <w:p w14:paraId="5CF16F05" w14:textId="77777777" w:rsidR="00EE2E42" w:rsidRPr="00972F1A"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Pr>
          <w:rFonts w:ascii="Times New Roman" w:hAnsi="Times New Roman" w:cs="Times New Roman"/>
          <w:kern w:val="0"/>
          <w:sz w:val="22"/>
          <w:szCs w:val="22"/>
        </w:rPr>
        <w:t>Gilt yields =&gt; medium to long term rate expectations</w:t>
      </w:r>
    </w:p>
    <w:p w14:paraId="353CFA38" w14:textId="77777777" w:rsidR="00EE2E42" w:rsidRPr="0021032C" w:rsidRDefault="00EE2E42" w:rsidP="00EE2E42">
      <w:pPr>
        <w:autoSpaceDE w:val="0"/>
        <w:autoSpaceDN w:val="0"/>
        <w:adjustRightInd w:val="0"/>
        <w:spacing w:after="0" w:line="360" w:lineRule="auto"/>
        <w:rPr>
          <w:rFonts w:ascii="Times New Roman" w:hAnsi="Times New Roman" w:cs="Times New Roman"/>
          <w:color w:val="000000"/>
          <w:sz w:val="22"/>
          <w:szCs w:val="22"/>
        </w:rPr>
      </w:pPr>
    </w:p>
    <w:p w14:paraId="7F58034B" w14:textId="77777777" w:rsidR="00EE2E42" w:rsidRPr="0021032C" w:rsidRDefault="00EE2E42" w:rsidP="00EE2E42">
      <w:pPr>
        <w:autoSpaceDE w:val="0"/>
        <w:autoSpaceDN w:val="0"/>
        <w:adjustRightInd w:val="0"/>
        <w:spacing w:after="0" w:line="360" w:lineRule="auto"/>
        <w:rPr>
          <w:rFonts w:ascii="Times New Roman" w:hAnsi="Times New Roman" w:cs="Times New Roman"/>
          <w:color w:val="000000"/>
          <w:sz w:val="22"/>
          <w:szCs w:val="22"/>
        </w:rPr>
      </w:pPr>
      <w:r w:rsidRPr="0021032C">
        <w:rPr>
          <w:rFonts w:ascii="Times New Roman" w:hAnsi="Times New Roman" w:cs="Times New Roman"/>
          <w:color w:val="000000"/>
          <w:sz w:val="22"/>
          <w:szCs w:val="22"/>
        </w:rPr>
        <w:t>Dependents:</w:t>
      </w:r>
    </w:p>
    <w:p w14:paraId="6E8342FD" w14:textId="77777777" w:rsidR="00EE2E42" w:rsidRPr="00F47DB0"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FTSE100</w:t>
      </w:r>
      <w:r>
        <w:rPr>
          <w:rFonts w:ascii="Times New Roman" w:hAnsi="Times New Roman" w:cs="Times New Roman"/>
          <w:kern w:val="0"/>
          <w:sz w:val="22"/>
          <w:szCs w:val="22"/>
        </w:rPr>
        <w:t xml:space="preserve"> and/or </w:t>
      </w:r>
      <w:r w:rsidRPr="0021032C">
        <w:rPr>
          <w:rFonts w:ascii="Times New Roman" w:hAnsi="Times New Roman" w:cs="Times New Roman"/>
          <w:kern w:val="0"/>
          <w:sz w:val="22"/>
          <w:szCs w:val="22"/>
        </w:rPr>
        <w:t>FTSE250</w:t>
      </w:r>
      <w:r w:rsidRPr="00F47DB0">
        <w:rPr>
          <w:rFonts w:ascii="Times New Roman" w:hAnsi="Times New Roman" w:cs="Times New Roman"/>
          <w:kern w:val="0"/>
          <w:sz w:val="22"/>
          <w:szCs w:val="22"/>
        </w:rPr>
        <w:t xml:space="preserve"> (start simple)</w:t>
      </w:r>
      <w:r>
        <w:rPr>
          <w:rFonts w:ascii="Times New Roman" w:hAnsi="Times New Roman" w:cs="Times New Roman"/>
          <w:kern w:val="0"/>
          <w:sz w:val="22"/>
          <w:szCs w:val="22"/>
        </w:rPr>
        <w:t xml:space="preserve"> – daily </w:t>
      </w:r>
    </w:p>
    <w:p w14:paraId="3CADCF95" w14:textId="77777777" w:rsidR="00EE2E42" w:rsidRPr="0021032C" w:rsidRDefault="00EE2E42" w:rsidP="00EE2E42">
      <w:pPr>
        <w:pStyle w:val="ListParagraph"/>
        <w:numPr>
          <w:ilvl w:val="0"/>
          <w:numId w:val="5"/>
        </w:numPr>
        <w:autoSpaceDE w:val="0"/>
        <w:autoSpaceDN w:val="0"/>
        <w:adjustRightInd w:val="0"/>
        <w:spacing w:after="0" w:line="360" w:lineRule="auto"/>
        <w:rPr>
          <w:rFonts w:ascii="Times New Roman" w:hAnsi="Times New Roman" w:cs="Times New Roman"/>
          <w:kern w:val="0"/>
          <w:sz w:val="22"/>
          <w:szCs w:val="22"/>
        </w:rPr>
      </w:pPr>
      <w:r w:rsidRPr="0021032C">
        <w:rPr>
          <w:rFonts w:ascii="Times New Roman" w:hAnsi="Times New Roman" w:cs="Times New Roman"/>
          <w:kern w:val="0"/>
          <w:sz w:val="22"/>
          <w:szCs w:val="22"/>
        </w:rPr>
        <w:t>Sectoral</w:t>
      </w:r>
      <w:r>
        <w:rPr>
          <w:rFonts w:ascii="Times New Roman" w:hAnsi="Times New Roman" w:cs="Times New Roman"/>
          <w:kern w:val="0"/>
          <w:sz w:val="22"/>
          <w:szCs w:val="22"/>
        </w:rPr>
        <w:t xml:space="preserve"> – daily</w:t>
      </w:r>
    </w:p>
    <w:p w14:paraId="615D9333" w14:textId="77777777" w:rsidR="00EE2E42" w:rsidRDefault="00EE2E42" w:rsidP="00EE2E42">
      <w:pPr>
        <w:pStyle w:val="font-claude-response-body"/>
        <w:rPr>
          <w:color w:val="000000"/>
        </w:rPr>
      </w:pPr>
    </w:p>
    <w:p w14:paraId="0C677677" w14:textId="77777777" w:rsidR="00EE2E42" w:rsidRDefault="00EE2E42" w:rsidP="00EE2E42">
      <w:pPr>
        <w:pStyle w:val="font-claude-response-body"/>
        <w:rPr>
          <w:color w:val="000000"/>
        </w:rPr>
      </w:pPr>
      <w:r>
        <w:rPr>
          <w:color w:val="000000"/>
        </w:rPr>
        <w:lastRenderedPageBreak/>
        <w:t>First paragraph —</w:t>
      </w:r>
      <w:r>
        <w:rPr>
          <w:rStyle w:val="apple-converted-space"/>
          <w:color w:val="000000"/>
        </w:rPr>
        <w:t> </w:t>
      </w:r>
      <w:r>
        <w:rPr>
          <w:rStyle w:val="Emphasis"/>
          <w:color w:val="000000"/>
        </w:rPr>
        <w:t>"The UKMPESD shocks are derived from a principal components decomposition of high-frequency changes in UK short-term interest rate futures and gilt yields around BoE monetary policy announcements (Braun, Miranda-Agrippino, and Saha, 2024). The three factors are identified as Target (immediate policy-rate surprise), Path (expected future policy path, or forward guidance), and QE (long-maturity asset-purchase surprise)."</w:t>
      </w:r>
    </w:p>
    <w:p w14:paraId="78386009" w14:textId="77777777" w:rsidR="00EE2E42" w:rsidRDefault="00EE2E42" w:rsidP="00EE2E42">
      <w:pPr>
        <w:pStyle w:val="font-claude-response-body"/>
        <w:rPr>
          <w:color w:val="000000"/>
        </w:rPr>
      </w:pPr>
      <w:r>
        <w:rPr>
          <w:color w:val="000000"/>
        </w:rPr>
        <w:t>Second paragraph — one sentence on the underlying instruments:</w:t>
      </w:r>
      <w:r>
        <w:rPr>
          <w:rStyle w:val="apple-converted-space"/>
          <w:color w:val="000000"/>
        </w:rPr>
        <w:t> </w:t>
      </w:r>
      <w:r>
        <w:rPr>
          <w:rStyle w:val="Emphasis"/>
          <w:color w:val="000000"/>
        </w:rPr>
        <w:t>"The factor decomposition is estimated from changes in short-sterling futures (3-month LIBOR and SONIA contracts), overnight index swap rates, and gilt yields across maturities, measured in narrow intraday windows around MPC announcements."</w:t>
      </w:r>
      <w:r>
        <w:rPr>
          <w:rStyle w:val="apple-converted-space"/>
          <w:color w:val="000000"/>
        </w:rPr>
        <w:t> </w:t>
      </w:r>
      <w:r>
        <w:rPr>
          <w:color w:val="000000"/>
        </w:rPr>
        <w:t>Cite Braun et al. (2024).</w:t>
      </w:r>
    </w:p>
    <w:p w14:paraId="25C92AF0" w14:textId="77777777" w:rsidR="00EE2E42" w:rsidRDefault="00EE2E42" w:rsidP="00EE2E42">
      <w:pPr>
        <w:pStyle w:val="font-claude-response-body"/>
        <w:rPr>
          <w:color w:val="000000"/>
        </w:rPr>
      </w:pPr>
      <w:r>
        <w:rPr>
          <w:color w:val="000000"/>
        </w:rPr>
        <w:t xml:space="preserve">Then move to the sign convention, the </w:t>
      </w:r>
      <w:proofErr w:type="spellStart"/>
      <w:r>
        <w:rPr>
          <w:color w:val="000000"/>
        </w:rPr>
        <w:t>pos</w:t>
      </w:r>
      <w:proofErr w:type="spellEnd"/>
      <w:r>
        <w:rPr>
          <w:color w:val="000000"/>
        </w:rPr>
        <w:t>/neg split, the event counts, and the sample period — which is what I already had in the blueprint.</w:t>
      </w:r>
    </w:p>
    <w:p w14:paraId="318101CB" w14:textId="77777777" w:rsidR="00EE2E42" w:rsidRDefault="00EE2E42" w:rsidP="00EE2E42">
      <w:pPr>
        <w:pStyle w:val="font-claude-response-body"/>
        <w:rPr>
          <w:color w:val="000000"/>
        </w:rPr>
      </w:pPr>
      <w:r>
        <w:rPr>
          <w:rStyle w:val="Strong"/>
          <w:color w:val="000000"/>
        </w:rPr>
        <w:t>What to cut or push to the appendix:</w:t>
      </w:r>
    </w:p>
    <w:p w14:paraId="3D2EA2F6" w14:textId="77777777" w:rsidR="00EE2E42" w:rsidRDefault="00EE2E42" w:rsidP="00EE2E42">
      <w:pPr>
        <w:pStyle w:val="font-claude-response-body"/>
        <w:rPr>
          <w:color w:val="000000"/>
        </w:rPr>
      </w:pPr>
      <w:r>
        <w:rPr>
          <w:color w:val="000000"/>
        </w:rPr>
        <w:t>The details of what LIBOR, SONIA, and OIS</w:t>
      </w:r>
      <w:r>
        <w:rPr>
          <w:rStyle w:val="apple-converted-space"/>
          <w:color w:val="000000"/>
        </w:rPr>
        <w:t> </w:t>
      </w:r>
      <w:r>
        <w:rPr>
          <w:rStyle w:val="Emphasis"/>
          <w:color w:val="000000"/>
        </w:rPr>
        <w:t>are</w:t>
      </w:r>
      <w:r>
        <w:rPr>
          <w:rStyle w:val="apple-converted-space"/>
          <w:color w:val="000000"/>
        </w:rPr>
        <w:t> </w:t>
      </w:r>
      <w:r>
        <w:rPr>
          <w:color w:val="000000"/>
        </w:rPr>
        <w:t>— their definitions, the interbank-lending explanation, the "If LIBOR = 5% then banks could borrow..." walkthrough — do not belong in the main text. An economics examiner knows what LIBOR is, and the ones who want a refresher can look it up. Including these definitions will read as padding and signal uncertainty about the reader's level.</w:t>
      </w:r>
    </w:p>
    <w:p w14:paraId="412E8585" w14:textId="77777777" w:rsidR="00EE2E42" w:rsidRDefault="00EE2E42" w:rsidP="00EE2E42">
      <w:pPr>
        <w:pStyle w:val="font-claude-response-body"/>
        <w:rPr>
          <w:color w:val="000000"/>
        </w:rPr>
      </w:pPr>
      <w:r>
        <w:rPr>
          <w:color w:val="000000"/>
        </w:rPr>
        <w:t xml:space="preserve">If you feel the definitions are genuinely useful for a non-specialist reader, put them in an appendix </w:t>
      </w:r>
      <w:proofErr w:type="spellStart"/>
      <w:r>
        <w:rPr>
          <w:color w:val="000000"/>
        </w:rPr>
        <w:t>labeled</w:t>
      </w:r>
      <w:proofErr w:type="spellEnd"/>
      <w:r>
        <w:rPr>
          <w:color w:val="000000"/>
        </w:rPr>
        <w:t xml:space="preserve"> something like "Appendix A: Underlying Instruments in the UKMPESD Factor Decomposition" with a short table: instrument, definition, which factor it primarily loads on, source. Clean, referential, out of the way.</w:t>
      </w:r>
    </w:p>
    <w:p w14:paraId="30C5041A" w14:textId="77777777" w:rsidR="00EE2E42" w:rsidRDefault="00EE2E42" w:rsidP="00EE2E42">
      <w:pPr>
        <w:pStyle w:val="font-claude-response-body"/>
        <w:rPr>
          <w:color w:val="000000"/>
        </w:rPr>
      </w:pPr>
      <w:r>
        <w:rPr>
          <w:color w:val="000000"/>
        </w:rPr>
        <w:t>The note that "OIS is only available from 2008" is genuinely useful and should go in a footnote to the first or second paragraph above, because it's a real constraint on the shock construction and a reader who knows UK rates data will wonder about it.</w:t>
      </w:r>
    </w:p>
    <w:p w14:paraId="113B298C" w14:textId="77777777" w:rsidR="00EE2E42" w:rsidRDefault="00EE2E42" w:rsidP="00EE2E42">
      <w:pPr>
        <w:pStyle w:val="font-claude-response-body"/>
        <w:rPr>
          <w:color w:val="000000"/>
        </w:rPr>
      </w:pPr>
      <w:r>
        <w:rPr>
          <w:rStyle w:val="Strong"/>
          <w:color w:val="000000"/>
        </w:rPr>
        <w:t>What to cut entirely:</w:t>
      </w:r>
    </w:p>
    <w:p w14:paraId="25B59A01" w14:textId="77777777" w:rsidR="00EE2E42" w:rsidRDefault="00EE2E42" w:rsidP="00EE2E42">
      <w:pPr>
        <w:pStyle w:val="font-claude-response-body"/>
        <w:rPr>
          <w:color w:val="000000"/>
        </w:rPr>
      </w:pPr>
      <w:r>
        <w:rPr>
          <w:color w:val="000000"/>
        </w:rPr>
        <w:t>"Target = short rate surprise (strongest in terms of transmission in equity)" — this is a claim about results, not data. Don't assert it in the data section. Your empirical results will establish it.</w:t>
      </w:r>
    </w:p>
    <w:p w14:paraId="42E1F067" w14:textId="77777777" w:rsidR="00EE2E42" w:rsidRDefault="00EE2E42" w:rsidP="00EE2E42">
      <w:pPr>
        <w:pStyle w:val="font-claude-response-body"/>
        <w:rPr>
          <w:color w:val="000000"/>
        </w:rPr>
      </w:pPr>
      <w:r>
        <w:rPr>
          <w:color w:val="000000"/>
        </w:rPr>
        <w:t>The dependents section of your notes ("FTSE100 and/or FTSE250 (start simple)") is out of date relative to the blueprint — you've already settled on FTSE 250 as main with FTSE 100 and All-Share as robustness. That decision lives in Section 4.2 and doesn't need the "start simple" framing.</w:t>
      </w:r>
    </w:p>
    <w:p w14:paraId="70D089AA" w14:textId="77777777" w:rsidR="00EE2E42" w:rsidRDefault="00EE2E42" w:rsidP="00EE2E42">
      <w:pPr>
        <w:pStyle w:val="font-claude-response-body"/>
        <w:rPr>
          <w:color w:val="000000"/>
        </w:rPr>
      </w:pPr>
      <w:r>
        <w:rPr>
          <w:color w:val="000000"/>
        </w:rPr>
        <w:t>The "Sectoral – daily" note is a future-work item that your current dissertation is not delivering. Mention it once in the conclusion's future work paragraph and nowhere else.</w:t>
      </w:r>
    </w:p>
    <w:p w14:paraId="71F8A831" w14:textId="77777777" w:rsidR="00EE2E42" w:rsidRDefault="00EE2E42" w:rsidP="00EE2E42">
      <w:pPr>
        <w:pStyle w:val="font-claude-response-body"/>
        <w:rPr>
          <w:color w:val="000000"/>
        </w:rPr>
      </w:pPr>
    </w:p>
    <w:p w14:paraId="08109487" w14:textId="77777777" w:rsidR="00EE2E42" w:rsidRDefault="00EE2E42" w:rsidP="00EE2E42">
      <w:pPr>
        <w:pStyle w:val="font-claude-response-body"/>
        <w:rPr>
          <w:color w:val="000000"/>
        </w:rPr>
      </w:pPr>
      <w:r>
        <w:rPr>
          <w:color w:val="000000"/>
        </w:rPr>
        <w:lastRenderedPageBreak/>
        <w:t>The instrument list, the PCA mechanics, the identifying restrictions, and the event-window definitions all belong in Section 4.1 or a technical appendix. At the main-text level in 4.1, you want something like:</w:t>
      </w:r>
      <w:r>
        <w:rPr>
          <w:rStyle w:val="apple-converted-space"/>
          <w:color w:val="000000"/>
        </w:rPr>
        <w:t> </w:t>
      </w:r>
      <w:r>
        <w:rPr>
          <w:rStyle w:val="Emphasis"/>
          <w:color w:val="000000"/>
        </w:rPr>
        <w:t>"The factors are estimated by PCA on intraday changes in the first four short sterling futures and the 2-, 5-, and 10-year gilt yields, with identifying restrictions imposed so that only Target loads on the shortest-maturity future and QE variance is minimised pre-2009 (Braun et al., 2024)."</w:t>
      </w:r>
      <w:r>
        <w:rPr>
          <w:rStyle w:val="apple-converted-space"/>
          <w:color w:val="000000"/>
        </w:rPr>
        <w:t> </w:t>
      </w:r>
      <w:r>
        <w:rPr>
          <w:color w:val="000000"/>
        </w:rPr>
        <w:t>One sentence, citation, move on.</w:t>
      </w:r>
    </w:p>
    <w:p w14:paraId="7F1EA926" w14:textId="77777777" w:rsidR="00EE2E42" w:rsidRDefault="00EE2E42" w:rsidP="00EE2E42">
      <w:pPr>
        <w:pStyle w:val="font-claude-response-body"/>
        <w:rPr>
          <w:color w:val="000000"/>
        </w:rPr>
      </w:pPr>
      <w:r>
        <w:rPr>
          <w:color w:val="000000"/>
        </w:rPr>
        <w:t>The measurement window details (30-minute announcement window, 75-minute press conference window, median-quote convention) can go in an appendix titled something like "Appendix A: Construction of the UKMPESD Shocks." Reference it from Section 4.1 with one sentence:</w:t>
      </w:r>
      <w:r>
        <w:rPr>
          <w:rStyle w:val="apple-converted-space"/>
          <w:color w:val="000000"/>
        </w:rPr>
        <w:t> </w:t>
      </w:r>
      <w:r>
        <w:rPr>
          <w:rStyle w:val="Emphasis"/>
          <w:color w:val="000000"/>
        </w:rPr>
        <w:t>"Details of the measurement windows and event definitions are reported in Appendix A."</w:t>
      </w:r>
    </w:p>
    <w:p w14:paraId="5D240AC9" w14:textId="77777777" w:rsidR="00EE2E42" w:rsidRDefault="00EE2E42" w:rsidP="00EE2E42">
      <w:pPr>
        <w:pStyle w:val="font-claude-response-body"/>
        <w:rPr>
          <w:color w:val="000000"/>
        </w:rPr>
      </w:pPr>
    </w:p>
    <w:p w14:paraId="328EC40F" w14:textId="77777777" w:rsidR="00EE2E42" w:rsidRDefault="00EE2E42" w:rsidP="00EE2E42">
      <w:pPr>
        <w:pStyle w:val="font-claude-response-body"/>
        <w:rPr>
          <w:color w:val="000000"/>
        </w:rPr>
      </w:pPr>
    </w:p>
    <w:p w14:paraId="54DEACF1" w14:textId="77777777" w:rsidR="00EE2E42" w:rsidRDefault="00EE2E42" w:rsidP="00EE2E42">
      <w:pPr>
        <w:pStyle w:val="font-claude-response-body"/>
        <w:rPr>
          <w:color w:val="000000"/>
        </w:rPr>
      </w:pPr>
      <w:r>
        <w:rPr>
          <w:rStyle w:val="Strong"/>
          <w:color w:val="000000"/>
        </w:rPr>
        <w:t>4.2 Equity data (~0.5 pp).</w:t>
      </w:r>
      <w:r>
        <w:rPr>
          <w:rStyle w:val="apple-converted-space"/>
          <w:color w:val="000000"/>
        </w:rPr>
        <w:t> </w:t>
      </w:r>
      <w:r>
        <w:rPr>
          <w:color w:val="000000"/>
        </w:rPr>
        <w:t xml:space="preserve">FTSE 250 as main dependent variable; FTSE 100 and All-Share used for controls/robustness. Source file, 7,376 daily observations, 1997-01-02 to 2026-03-12. Daily log returns. Justify FTSE 250 as main series: greater domestic exposure, more sensitive to UK-specific monetary shocks than the </w:t>
      </w:r>
      <w:proofErr w:type="gramStart"/>
      <w:r>
        <w:rPr>
          <w:color w:val="000000"/>
        </w:rPr>
        <w:t>internationally-weighted</w:t>
      </w:r>
      <w:proofErr w:type="gramEnd"/>
      <w:r>
        <w:rPr>
          <w:color w:val="000000"/>
        </w:rPr>
        <w:t xml:space="preserve"> FTSE 100.</w:t>
      </w:r>
    </w:p>
    <w:p w14:paraId="7D9D7E7A" w14:textId="77777777" w:rsidR="00EE2E42" w:rsidRDefault="00EE2E42" w:rsidP="00EE2E42">
      <w:pPr>
        <w:pStyle w:val="font-claude-response-body"/>
        <w:rPr>
          <w:color w:val="000000"/>
        </w:rPr>
      </w:pPr>
      <w:r>
        <w:rPr>
          <w:rStyle w:val="Strong"/>
          <w:color w:val="000000"/>
        </w:rPr>
        <w:t>4.3 Merged sample and descriptive statistics (~1 pp).</w:t>
      </w:r>
      <w:r>
        <w:rPr>
          <w:rStyle w:val="apple-converted-space"/>
          <w:color w:val="000000"/>
        </w:rPr>
        <w:t> </w:t>
      </w:r>
      <w:r>
        <w:rPr>
          <w:color w:val="000000"/>
        </w:rPr>
        <w:t>Merged dataset: 7,278 rows from 1997-05-23 (lag buffer); estimation from 1997-06-06. All 376 event dates match trading dates. Daily return mean ≈ 0.00022, SD ≈ 0.0103.</w:t>
      </w:r>
    </w:p>
    <w:p w14:paraId="1E0A01DD" w14:textId="77777777" w:rsidR="00EE2E42" w:rsidRDefault="00EE2E42" w:rsidP="00EE2E42">
      <w:pPr>
        <w:pStyle w:val="font-claude-response-body"/>
        <w:rPr>
          <w:color w:val="000000"/>
        </w:rPr>
      </w:pPr>
      <w:r>
        <w:rPr>
          <w:rStyle w:val="Strong"/>
          <w:color w:val="000000"/>
        </w:rPr>
        <w:t>Main-text Table 1:</w:t>
      </w:r>
      <w:r>
        <w:rPr>
          <w:rStyle w:val="apple-converted-space"/>
          <w:color w:val="000000"/>
        </w:rPr>
        <w:t> </w:t>
      </w:r>
      <w:r>
        <w:rPr>
          <w:color w:val="000000"/>
        </w:rPr>
        <w:t>Summary statistics — mean, SD, min, max, count of each shock factor (raw events and daily-grouped), and of FTSE 250/100/All-Share log returns. One compact table.</w:t>
      </w:r>
    </w:p>
    <w:p w14:paraId="00F63236" w14:textId="77777777" w:rsidR="00EE2E42" w:rsidRDefault="00EE2E42" w:rsidP="00EE2E42">
      <w:pPr>
        <w:pStyle w:val="font-claude-response-body"/>
        <w:rPr>
          <w:color w:val="000000"/>
        </w:rPr>
      </w:pPr>
      <w:r>
        <w:rPr>
          <w:rStyle w:val="Strong"/>
          <w:color w:val="000000"/>
        </w:rPr>
        <w:t>Main-text Figure 1:</w:t>
      </w:r>
      <w:r>
        <w:rPr>
          <w:rStyle w:val="apple-converted-space"/>
          <w:color w:val="000000"/>
        </w:rPr>
        <w:t> </w:t>
      </w:r>
      <w:r>
        <w:rPr>
          <w:color w:val="000000"/>
        </w:rPr>
        <w:t xml:space="preserve">Time series of the three shocks (three </w:t>
      </w:r>
      <w:proofErr w:type="gramStart"/>
      <w:r>
        <w:rPr>
          <w:color w:val="000000"/>
        </w:rPr>
        <w:t>small stacked</w:t>
      </w:r>
      <w:proofErr w:type="gramEnd"/>
      <w:r>
        <w:rPr>
          <w:color w:val="000000"/>
        </w:rPr>
        <w:t xml:space="preserve"> panels) with QE, Super Thursday, COVID, and QT dates marked as vertical lines. This does double duty — shows the shock data</w:t>
      </w:r>
      <w:r>
        <w:rPr>
          <w:rStyle w:val="apple-converted-space"/>
          <w:color w:val="000000"/>
        </w:rPr>
        <w:t> </w:t>
      </w:r>
      <w:r>
        <w:rPr>
          <w:rStyle w:val="Emphasis"/>
          <w:color w:val="000000"/>
        </w:rPr>
        <w:t>and</w:t>
      </w:r>
      <w:r>
        <w:rPr>
          <w:rStyle w:val="apple-converted-space"/>
          <w:color w:val="000000"/>
        </w:rPr>
        <w:t> </w:t>
      </w:r>
      <w:r>
        <w:rPr>
          <w:color w:val="000000"/>
        </w:rPr>
        <w:t>previews the regimes.</w:t>
      </w:r>
    </w:p>
    <w:p w14:paraId="7FF0FA8F" w14:textId="77777777" w:rsidR="00EE2E42" w:rsidRDefault="00EE2E42" w:rsidP="00EE2E42">
      <w:pPr>
        <w:pStyle w:val="font-claude-response-body"/>
        <w:rPr>
          <w:color w:val="000000"/>
        </w:rPr>
      </w:pPr>
      <w:r>
        <w:rPr>
          <w:rStyle w:val="Strong"/>
          <w:color w:val="000000"/>
        </w:rPr>
        <w:t>Appendix:</w:t>
      </w:r>
      <w:r>
        <w:rPr>
          <w:rStyle w:val="apple-converted-space"/>
          <w:color w:val="000000"/>
        </w:rPr>
        <w:t> </w:t>
      </w:r>
      <w:r>
        <w:rPr>
          <w:color w:val="000000"/>
        </w:rPr>
        <w:t>Full shock-event list, cross-correlations between shock factors, distributional plots (histograms), extended FTSE index time-series plots, any data-cleaning diagnostics.</w:t>
      </w:r>
    </w:p>
    <w:p w14:paraId="57ADDA5B" w14:textId="55E10A69" w:rsidR="002159F0" w:rsidRPr="00A070DF" w:rsidRDefault="002159F0" w:rsidP="003143C5">
      <w:pPr>
        <w:autoSpaceDE w:val="0"/>
        <w:autoSpaceDN w:val="0"/>
        <w:adjustRightInd w:val="0"/>
        <w:spacing w:after="0" w:line="360" w:lineRule="auto"/>
        <w:rPr>
          <w:rFonts w:ascii="Times New Roman" w:hAnsi="Times New Roman" w:cs="Times New Roman"/>
          <w:kern w:val="0"/>
          <w:sz w:val="22"/>
          <w:szCs w:val="22"/>
        </w:rPr>
      </w:pPr>
    </w:p>
    <w:p w14:paraId="2E8D38ED" w14:textId="77777777" w:rsidR="00274D9D" w:rsidRPr="00A070DF" w:rsidRDefault="00274D9D">
      <w:pPr>
        <w:rPr>
          <w:rFonts w:ascii="Times New Roman" w:hAnsi="Times New Roman" w:cs="Times New Roman"/>
          <w:kern w:val="0"/>
          <w:sz w:val="22"/>
          <w:szCs w:val="22"/>
        </w:rPr>
      </w:pPr>
      <w:r w:rsidRPr="00A070DF">
        <w:rPr>
          <w:rFonts w:ascii="Times New Roman" w:hAnsi="Times New Roman" w:cs="Times New Roman"/>
          <w:kern w:val="0"/>
          <w:sz w:val="22"/>
          <w:szCs w:val="22"/>
        </w:rPr>
        <w:br w:type="page"/>
      </w:r>
    </w:p>
    <w:p w14:paraId="7D5866A8" w14:textId="11C57050" w:rsidR="00A96C4F" w:rsidRPr="00BD711B" w:rsidRDefault="002159F0" w:rsidP="00BD711B">
      <w:pPr>
        <w:pStyle w:val="Heading1"/>
        <w:numPr>
          <w:ilvl w:val="0"/>
          <w:numId w:val="30"/>
        </w:numPr>
      </w:pPr>
      <w:bookmarkStart w:id="4" w:name="_Toc227839911"/>
      <w:r w:rsidRPr="00A96C4F">
        <w:lastRenderedPageBreak/>
        <w:t>Methodology</w:t>
      </w:r>
      <w:r w:rsidR="0030785C" w:rsidRPr="00A96C4F">
        <w:t xml:space="preserve"> – </w:t>
      </w:r>
      <w:r w:rsidR="00BD711B">
        <w:t xml:space="preserve">3.5 </w:t>
      </w:r>
      <w:r w:rsidR="0030785C" w:rsidRPr="00A96C4F">
        <w:t>pages</w:t>
      </w:r>
      <w:bookmarkEnd w:id="4"/>
    </w:p>
    <w:p w14:paraId="2C7BCD10" w14:textId="77777777" w:rsidR="00BD711B" w:rsidRDefault="00BD711B" w:rsidP="00BD711B">
      <w:pPr>
        <w:pStyle w:val="font-claude-response-body"/>
        <w:rPr>
          <w:color w:val="000000"/>
        </w:rPr>
      </w:pPr>
      <w:r>
        <w:rPr>
          <w:rStyle w:val="Strong"/>
          <w:color w:val="000000"/>
        </w:rPr>
        <w:t>5.1 Local projections (~0.75 pp).</w:t>
      </w:r>
      <w:r>
        <w:rPr>
          <w:rStyle w:val="apple-converted-space"/>
          <w:color w:val="000000"/>
        </w:rPr>
        <w:t> </w:t>
      </w:r>
      <w:r>
        <w:rPr>
          <w:color w:val="000000"/>
        </w:rPr>
        <w:t>Write out the Jordà (2005) LP estimator in general form, explain why LPs rather than VARs (flexibility, robustness to misspecification, natural handling of nonlinearities — cite Jordà 2005). Do not re-derive; one paragraph on intuition plus the equation.</w:t>
      </w:r>
    </w:p>
    <w:p w14:paraId="4A414E4E" w14:textId="77777777" w:rsidR="00BD711B" w:rsidRDefault="00BD711B" w:rsidP="00BD711B">
      <w:pPr>
        <w:pStyle w:val="font-claude-response-body"/>
        <w:rPr>
          <w:color w:val="000000"/>
        </w:rPr>
      </w:pPr>
      <w:r>
        <w:rPr>
          <w:rStyle w:val="Strong"/>
          <w:color w:val="000000"/>
        </w:rPr>
        <w:t>the VAR vs LP justification goes here:</w:t>
      </w:r>
    </w:p>
    <w:p w14:paraId="4665DEC0" w14:textId="77777777" w:rsidR="00BD711B" w:rsidRDefault="00BD711B" w:rsidP="00BD711B">
      <w:pPr>
        <w:pStyle w:val="font-claude-response-body"/>
        <w:rPr>
          <w:color w:val="000000"/>
        </w:rPr>
      </w:pPr>
      <w:r>
        <w:rPr>
          <w:color w:val="000000"/>
        </w:rPr>
        <w:t>Your "why LP over VAR" material is exactly what Section 5.1 needs, and your reasoning is sharp: because the shocks are high-frequency surprises, they're already close to structural shocks, so you don't need a VAR's identification machinery — you can feed the shocks directly into LPs and recover causal effects. That's a strong justification and worth two or three sentences.</w:t>
      </w:r>
    </w:p>
    <w:p w14:paraId="4D1F527A" w14:textId="77777777" w:rsidR="00BD711B" w:rsidRDefault="00BD711B" w:rsidP="00BD711B">
      <w:pPr>
        <w:pStyle w:val="font-claude-response-body"/>
        <w:rPr>
          <w:rStyle w:val="Emphasis"/>
          <w:color w:val="000000"/>
        </w:rPr>
      </w:pPr>
      <w:r>
        <w:rPr>
          <w:color w:val="000000"/>
        </w:rPr>
        <w:t>Recommended framing:</w:t>
      </w:r>
      <w:r>
        <w:rPr>
          <w:rStyle w:val="apple-converted-space"/>
          <w:color w:val="000000"/>
        </w:rPr>
        <w:t> </w:t>
      </w:r>
      <w:r>
        <w:rPr>
          <w:rStyle w:val="Emphasis"/>
          <w:color w:val="000000"/>
        </w:rPr>
        <w:t>"I estimate dynamic responses using the local projection method of Jordà (2005). LPs are preferred to VARs in this setting for two reasons. First, the UKMPESD shocks are high-frequency monetary surprises and can be treated as close to structurally identified, so the recursive identification machinery of a standard VAR is unnecessary. Second, LPs accommodate asymmetric and horizon-specific responses natively through horizon-specific regressions, without imposing the linear dynamic restrictions of a VAR. The trade-off is wider confidence intervals at longer horizons, which I address through HAC inference."</w:t>
      </w:r>
    </w:p>
    <w:p w14:paraId="5C92CCB7" w14:textId="05ACE4EA" w:rsidR="003A5570" w:rsidRPr="003A5570" w:rsidRDefault="003A5570" w:rsidP="00BD711B">
      <w:pPr>
        <w:pStyle w:val="font-claude-response-body"/>
        <w:rPr>
          <w:i/>
          <w:iCs/>
          <w:color w:val="000000"/>
        </w:rPr>
      </w:pPr>
      <w:r w:rsidRPr="003A5570">
        <w:rPr>
          <w:rStyle w:val="Emphasis"/>
          <w:i w:val="0"/>
          <w:iCs w:val="0"/>
          <w:color w:val="000000"/>
        </w:rPr>
        <w:t>BoE used VAR</w:t>
      </w:r>
    </w:p>
    <w:p w14:paraId="45ABED49" w14:textId="77777777" w:rsidR="00BD711B" w:rsidRDefault="00BD711B" w:rsidP="00BD711B">
      <w:pPr>
        <w:pStyle w:val="font-claude-response-body"/>
        <w:rPr>
          <w:color w:val="000000"/>
        </w:rPr>
      </w:pPr>
      <w:r>
        <w:rPr>
          <w:color w:val="000000"/>
        </w:rPr>
        <w:t xml:space="preserve">That paragraph does the entire LP-vs-VAR justification in a way that's honest about the trade-off. Don't expand it further. The field has moved on from needing extensive LP-vs-VAR </w:t>
      </w:r>
      <w:proofErr w:type="spellStart"/>
      <w:r>
        <w:rPr>
          <w:color w:val="000000"/>
        </w:rPr>
        <w:t>defenses</w:t>
      </w:r>
      <w:proofErr w:type="spellEnd"/>
      <w:r>
        <w:rPr>
          <w:color w:val="000000"/>
        </w:rPr>
        <w:t xml:space="preserve"> — a couple of sentences plus the Jordà (2005) citation is plenty.</w:t>
      </w:r>
    </w:p>
    <w:p w14:paraId="23D3B752" w14:textId="0C2C8801" w:rsidR="00BD711B" w:rsidRDefault="00BD711B" w:rsidP="00BD711B">
      <w:pPr>
        <w:pStyle w:val="font-claude-response-body"/>
        <w:rPr>
          <w:sz w:val="22"/>
          <w:szCs w:val="22"/>
        </w:rPr>
      </w:pPr>
      <w:r w:rsidRPr="00F47DB0">
        <w:rPr>
          <w:sz w:val="22"/>
          <w:szCs w:val="22"/>
        </w:rPr>
        <w:t>LP – less biased (especially at long horizons) – but less precise (bigger confidence intervals)</w:t>
      </w:r>
    </w:p>
    <w:p w14:paraId="7EF959B0" w14:textId="7CD28927" w:rsidR="00FB4270" w:rsidRPr="00D005A3" w:rsidRDefault="00FB4270" w:rsidP="00BD711B">
      <w:pPr>
        <w:pStyle w:val="font-claude-response-body"/>
        <w:rPr>
          <w:i/>
          <w:iCs/>
          <w:color w:val="000000"/>
          <w:sz w:val="22"/>
          <w:szCs w:val="22"/>
        </w:rPr>
      </w:pPr>
      <w:r w:rsidRPr="00D005A3">
        <w:rPr>
          <w:i/>
          <w:iCs/>
          <w:color w:val="000000"/>
          <w:sz w:val="22"/>
          <w:szCs w:val="22"/>
        </w:rPr>
        <w:t>I estimate at daily frequency to preserve the event-level variation in the high-frequency shocks; aggregating to monthly frequency would dilute shock variation and obscure the short-horizon dynamics that high-frequency identification is designed to capture.</w:t>
      </w:r>
    </w:p>
    <w:p w14:paraId="61422294" w14:textId="21CD9D97" w:rsidR="00FB4270" w:rsidRPr="00D005A3" w:rsidRDefault="00D005A3" w:rsidP="00BD711B">
      <w:pPr>
        <w:pStyle w:val="font-claude-response-body"/>
        <w:rPr>
          <w:i/>
          <w:iCs/>
          <w:color w:val="000000"/>
          <w:sz w:val="22"/>
          <w:szCs w:val="22"/>
        </w:rPr>
      </w:pPr>
      <w:r w:rsidRPr="00D005A3">
        <w:rPr>
          <w:i/>
          <w:iCs/>
          <w:color w:val="000000"/>
          <w:sz w:val="22"/>
          <w:szCs w:val="22"/>
        </w:rPr>
        <w:t>"Under the assumption that no non-monetary news is released within the intraday measurement window around each MPC event, the coefficients</w:t>
      </w:r>
      <w:r w:rsidRPr="00D005A3">
        <w:rPr>
          <w:rStyle w:val="apple-converted-space"/>
          <w:i/>
          <w:iCs/>
          <w:color w:val="000000"/>
          <w:sz w:val="22"/>
          <w:szCs w:val="22"/>
        </w:rPr>
        <w:t> </w:t>
      </w:r>
      <m:oMath>
        <m:sSubSup>
          <m:sSubSupPr>
            <m:ctrlPr>
              <w:rPr>
                <w:rFonts w:ascii="Cambria Math" w:hAnsi="Cambria Math"/>
                <w:i/>
                <w:iCs/>
                <w:sz w:val="22"/>
                <w:szCs w:val="22"/>
              </w:rPr>
            </m:ctrlPr>
          </m:sSubSupPr>
          <m:e>
            <m:r>
              <w:rPr>
                <w:rFonts w:ascii="Cambria Math" w:hAnsi="Cambria Math"/>
                <w:sz w:val="22"/>
                <w:szCs w:val="22"/>
              </w:rPr>
              <m:t>β</m:t>
            </m:r>
          </m:e>
          <m:sub>
            <m:r>
              <w:rPr>
                <w:rFonts w:ascii="Cambria Math" w:hAnsi="Cambria Math"/>
                <w:sz w:val="22"/>
                <w:szCs w:val="22"/>
              </w:rPr>
              <m:t>h</m:t>
            </m:r>
          </m:sub>
          <m:sup>
            <m:r>
              <w:rPr>
                <w:rFonts w:ascii="Cambria Math" w:hAnsi="Cambria Math"/>
                <w:sz w:val="22"/>
                <w:szCs w:val="22"/>
              </w:rPr>
              <m:t>+</m:t>
            </m:r>
          </m:sup>
        </m:sSubSup>
      </m:oMath>
      <w:r w:rsidRPr="00D005A3">
        <w:rPr>
          <w:rStyle w:val="apple-converted-space"/>
          <w:i/>
          <w:iCs/>
          <w:color w:val="000000"/>
          <w:sz w:val="22"/>
          <w:szCs w:val="22"/>
        </w:rPr>
        <w:t> </w:t>
      </w:r>
      <w:r w:rsidRPr="00D005A3">
        <w:rPr>
          <w:i/>
          <w:iCs/>
          <w:color w:val="000000"/>
          <w:sz w:val="22"/>
          <w:szCs w:val="22"/>
        </w:rPr>
        <w:t>and</w:t>
      </w:r>
      <w:r w:rsidRPr="00D005A3">
        <w:rPr>
          <w:rStyle w:val="apple-converted-space"/>
          <w:i/>
          <w:iCs/>
          <w:color w:val="000000"/>
          <w:sz w:val="22"/>
          <w:szCs w:val="22"/>
        </w:rPr>
        <w:t> </w:t>
      </w:r>
      <m:oMath>
        <m:sSubSup>
          <m:sSubSupPr>
            <m:ctrlPr>
              <w:rPr>
                <w:rFonts w:ascii="Cambria Math" w:hAnsi="Cambria Math"/>
                <w:i/>
                <w:iCs/>
                <w:sz w:val="22"/>
                <w:szCs w:val="22"/>
              </w:rPr>
            </m:ctrlPr>
          </m:sSubSupPr>
          <m:e>
            <m:r>
              <w:rPr>
                <w:rFonts w:ascii="Cambria Math" w:hAnsi="Cambria Math"/>
                <w:sz w:val="22"/>
                <w:szCs w:val="22"/>
              </w:rPr>
              <m:t>β</m:t>
            </m:r>
          </m:e>
          <m:sub>
            <m:r>
              <w:rPr>
                <w:rFonts w:ascii="Cambria Math" w:hAnsi="Cambria Math"/>
                <w:sz w:val="22"/>
                <w:szCs w:val="22"/>
              </w:rPr>
              <m:t>h</m:t>
            </m:r>
          </m:sub>
          <m:sup>
            <m:r>
              <w:rPr>
                <w:rFonts w:ascii="Cambria Math" w:hAnsi="Cambria Math"/>
                <w:sz w:val="22"/>
                <w:szCs w:val="22"/>
              </w:rPr>
              <m:t>-</m:t>
            </m:r>
          </m:sup>
        </m:sSubSup>
      </m:oMath>
      <w:r w:rsidRPr="00D005A3">
        <w:rPr>
          <w:rStyle w:val="apple-converted-space"/>
          <w:i/>
          <w:iCs/>
          <w:color w:val="000000"/>
          <w:sz w:val="22"/>
          <w:szCs w:val="22"/>
        </w:rPr>
        <w:t> </w:t>
      </w:r>
      <w:r w:rsidRPr="00D005A3">
        <w:rPr>
          <w:i/>
          <w:iCs/>
          <w:color w:val="000000"/>
          <w:sz w:val="22"/>
          <w:szCs w:val="22"/>
        </w:rPr>
        <w:t>identify the causal response of cumulative equity returns to a tightening or easing policy surprise respectively."</w:t>
      </w:r>
    </w:p>
    <w:p w14:paraId="2BD6A99E" w14:textId="77777777" w:rsidR="00BD711B" w:rsidRDefault="00BD711B" w:rsidP="00BD711B">
      <w:pPr>
        <w:pStyle w:val="font-claude-response-body"/>
        <w:rPr>
          <w:color w:val="000000"/>
        </w:rPr>
      </w:pPr>
    </w:p>
    <w:p w14:paraId="247699EF" w14:textId="77777777" w:rsidR="00BD711B" w:rsidRDefault="00BD711B" w:rsidP="00BD711B">
      <w:pPr>
        <w:pStyle w:val="font-claude-response-body"/>
        <w:rPr>
          <w:color w:val="000000"/>
        </w:rPr>
      </w:pPr>
      <w:r>
        <w:rPr>
          <w:rStyle w:val="Strong"/>
          <w:color w:val="000000"/>
        </w:rPr>
        <w:t>5.2 Baseline specification with asymmetry (~1.25 pp).</w:t>
      </w:r>
      <w:r>
        <w:rPr>
          <w:rStyle w:val="apple-converted-space"/>
          <w:color w:val="000000"/>
        </w:rPr>
        <w:t> </w:t>
      </w:r>
      <w:r>
        <w:rPr>
          <w:color w:val="000000"/>
        </w:rPr>
        <w:t>Write the estimating equation explicitly:</w:t>
      </w:r>
    </w:p>
    <w:p w14:paraId="47154AD6" w14:textId="2AE2F9CD" w:rsidR="00BD711B" w:rsidRDefault="00BD711B" w:rsidP="00A96C4F">
      <w:pPr>
        <w:spacing w:after="0" w:line="360" w:lineRule="auto"/>
        <w:rPr>
          <w:rFonts w:ascii="Times New Roman" w:eastAsia="Times New Roman" w:hAnsi="Times New Roman" w:cs="Times New Roman"/>
          <w:color w:val="000000"/>
          <w:kern w:val="0"/>
          <w:sz w:val="22"/>
          <w:szCs w:val="22"/>
          <w:u w:val="single"/>
          <w:lang w:eastAsia="en-GB"/>
          <w14:ligatures w14:val="none"/>
        </w:rPr>
      </w:pPr>
      <w:r w:rsidRPr="00BD711B">
        <w:rPr>
          <w:rFonts w:ascii="Times New Roman" w:eastAsia="Times New Roman" w:hAnsi="Times New Roman" w:cs="Times New Roman"/>
          <w:noProof/>
          <w:color w:val="000000"/>
          <w:kern w:val="0"/>
          <w:sz w:val="22"/>
          <w:szCs w:val="22"/>
          <w:lang w:eastAsia="en-GB"/>
        </w:rPr>
        <w:lastRenderedPageBreak/>
        <w:drawing>
          <wp:inline distT="0" distB="0" distL="0" distR="0" wp14:anchorId="6095FF11" wp14:editId="4AF769EF">
            <wp:extent cx="5943600" cy="751840"/>
            <wp:effectExtent l="0" t="0" r="0" b="0"/>
            <wp:docPr id="88379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96493" name="Picture 883796493"/>
                    <pic:cNvPicPr/>
                  </pic:nvPicPr>
                  <pic:blipFill>
                    <a:blip r:embed="rId13">
                      <a:extLst>
                        <a:ext uri="{28A0092B-C50C-407E-A947-70E740481C1C}">
                          <a14:useLocalDpi xmlns:a14="http://schemas.microsoft.com/office/drawing/2010/main" val="0"/>
                        </a:ext>
                      </a:extLst>
                    </a:blip>
                    <a:stretch>
                      <a:fillRect/>
                    </a:stretch>
                  </pic:blipFill>
                  <pic:spPr>
                    <a:xfrm>
                      <a:off x="0" y="0"/>
                      <a:ext cx="5943600" cy="751840"/>
                    </a:xfrm>
                    <a:prstGeom prst="rect">
                      <a:avLst/>
                    </a:prstGeom>
                  </pic:spPr>
                </pic:pic>
              </a:graphicData>
            </a:graphic>
          </wp:inline>
        </w:drawing>
      </w:r>
    </w:p>
    <w:p w14:paraId="75FD093B" w14:textId="77777777" w:rsidR="00BD711B" w:rsidRDefault="00BD711B" w:rsidP="00BD711B">
      <w:pPr>
        <w:pStyle w:val="font-claude-response-body"/>
        <w:rPr>
          <w:color w:val="000000"/>
        </w:rPr>
      </w:pPr>
      <w:r>
        <w:rPr>
          <w:color w:val="000000"/>
        </w:rPr>
        <w:t>where</w:t>
      </w:r>
      <w:r>
        <w:rPr>
          <w:rStyle w:val="apple-converted-space"/>
          <w:color w:val="000000"/>
        </w:rPr>
        <w:t> </w:t>
      </w:r>
      <m:oMath>
        <m:sSub>
          <m:sSubPr>
            <m:ctrlPr>
              <w:rPr>
                <w:rFonts w:ascii="Cambria Math" w:hAnsi="Cambria Math"/>
              </w:rPr>
            </m:ctrlPr>
          </m:sSubPr>
          <m:e>
            <m:r>
              <w:rPr>
                <w:rFonts w:ascii="Cambria Math" w:hAnsi="Cambria Math"/>
              </w:rPr>
              <m:t>r</m:t>
            </m:r>
          </m:e>
          <m:sub>
            <m:r>
              <w:rPr>
                <w:rFonts w:ascii="Cambria Math" w:hAnsi="Cambria Math"/>
              </w:rPr>
              <m:t>t→t+h</m:t>
            </m:r>
          </m:sub>
        </m:sSub>
      </m:oMath>
      <w:r>
        <w:rPr>
          <w:rStyle w:val="apple-converted-space"/>
          <w:color w:val="000000"/>
        </w:rPr>
        <w:t> </w:t>
      </w:r>
      <w:r>
        <w:rPr>
          <w:color w:val="000000"/>
        </w:rPr>
        <w:t>is cumulative FTSE 250 log return and horizons run h = 0, 1, ..., 20. Estimated separately for each shock factor (Target, Path, QE).</w:t>
      </w:r>
    </w:p>
    <w:p w14:paraId="07581A8B" w14:textId="77777777" w:rsidR="00BD711B" w:rsidRDefault="00BD711B" w:rsidP="00BD711B">
      <w:pPr>
        <w:pStyle w:val="font-claude-response-body"/>
        <w:rPr>
          <w:color w:val="000000"/>
        </w:rPr>
      </w:pPr>
      <w:r>
        <w:rPr>
          <w:color w:val="000000"/>
        </w:rPr>
        <w:t>**Critical paragraph on sign convention.** Spend real space on this. A reader who skims will miss that</w:t>
      </w:r>
      <w:r>
        <w:rPr>
          <w:rStyle w:val="apple-converted-space"/>
          <w:color w:val="000000"/>
        </w:rPr>
        <w:t> </w:t>
      </w:r>
      <m:oMath>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r>
          <w:rPr>
            <w:rFonts w:ascii="Cambria Math" w:hAnsi="Cambria Math"/>
          </w:rPr>
          <m:t>&gt;0</m:t>
        </m:r>
      </m:oMath>
      <w:r>
        <w:rPr>
          <w:color w:val="000000"/>
        </w:rPr>
        <w:t>means equity falls in response to easing. Walk through: "Because easing shocks take negative values, the impulse response to a one-standard-deviation easing is reported as</w:t>
      </w:r>
      <w:r>
        <w:rPr>
          <w:rStyle w:val="apple-converted-space"/>
          <w:color w:val="000000"/>
        </w:rPr>
        <w:t> </w:t>
      </w:r>
      <m:oMath>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σ</m:t>
            </m:r>
          </m:e>
          <m:sub>
            <m:r>
              <m:rPr>
                <m:nor/>
              </m:rPr>
              <m:t>shock</m:t>
            </m:r>
          </m:sub>
        </m:sSub>
        <m:r>
          <w:rPr>
            <w:rFonts w:ascii="Cambria Math" w:hAnsi="Cambria Math"/>
          </w:rPr>
          <m:t>)</m:t>
        </m:r>
      </m:oMath>
      <w:r>
        <w:rPr>
          <w:color w:val="000000"/>
        </w:rPr>
        <w:t>. Consequently, a positive</w:t>
      </w:r>
      <w:r>
        <w:rPr>
          <w:rStyle w:val="apple-converted-space"/>
          <w:color w:val="000000"/>
        </w:rPr>
        <w:t> </w:t>
      </w:r>
      <m:oMath>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oMath>
      <w:r>
        <w:rPr>
          <w:rStyle w:val="apple-converted-space"/>
          <w:color w:val="000000"/>
        </w:rPr>
        <w:t> </w:t>
      </w:r>
      <w:r>
        <w:rPr>
          <w:color w:val="000000"/>
        </w:rPr>
        <w:t>implies a *negative* equity response to easing — not a positive one. Readers comparing to symmetric specifications should note this convention."</w:t>
      </w:r>
    </w:p>
    <w:p w14:paraId="07174D3B" w14:textId="77777777" w:rsidR="00BD711B" w:rsidRDefault="00BD711B" w:rsidP="00BD711B">
      <w:pPr>
        <w:pStyle w:val="font-claude-response-body"/>
        <w:rPr>
          <w:color w:val="000000"/>
        </w:rPr>
      </w:pPr>
      <w:r>
        <w:rPr>
          <w:rStyle w:val="Strong"/>
          <w:color w:val="000000"/>
        </w:rPr>
        <w:t>the 3D/axes material:</w:t>
      </w:r>
    </w:p>
    <w:p w14:paraId="23FA9598" w14:textId="77777777" w:rsidR="00BD711B" w:rsidRDefault="00BD711B" w:rsidP="00BD711B">
      <w:pPr>
        <w:pStyle w:val="font-claude-response-body"/>
        <w:rPr>
          <w:color w:val="000000"/>
        </w:rPr>
      </w:pPr>
      <w:r>
        <w:rPr>
          <w:color w:val="000000"/>
        </w:rPr>
        <w:t xml:space="preserve">The "main section" content from your notes (Target / Path / QE, tightening vs easing, horizons 0-20) is the specification itself. This is already in my original 5.2 blueprint — you write out the estimating equation with the </w:t>
      </w:r>
      <w:proofErr w:type="spellStart"/>
      <w:r>
        <w:rPr>
          <w:color w:val="000000"/>
        </w:rPr>
        <w:t>pos</w:t>
      </w:r>
      <w:proofErr w:type="spellEnd"/>
      <w:r>
        <w:rPr>
          <w:color w:val="000000"/>
        </w:rPr>
        <w:t>/neg decomposition, explain the sign convention, and state that you estimate it separately for each of the three shocks across horizons h = 0 to 20.</w:t>
      </w:r>
    </w:p>
    <w:p w14:paraId="57E3851E" w14:textId="25441FA4" w:rsidR="00BD711B" w:rsidRDefault="00BD711B" w:rsidP="00BD711B">
      <w:pPr>
        <w:pStyle w:val="font-claude-response-body"/>
        <w:rPr>
          <w:color w:val="000000"/>
        </w:rPr>
      </w:pPr>
      <w:r>
        <w:rPr>
          <w:color w:val="000000"/>
        </w:rPr>
        <w:t>The three-axis framing you developed earlier should appear in 5.4 (Specification map), not 5.2. 5.2 is about the mechanics of the estimator; 5.4 is about how the specifications map onto the research questions.</w:t>
      </w:r>
    </w:p>
    <w:p w14:paraId="2C8EA3D6" w14:textId="465D9AFE" w:rsidR="00BD711B" w:rsidRPr="00D005A3" w:rsidRDefault="00D005A3" w:rsidP="00BD711B">
      <w:pPr>
        <w:pStyle w:val="font-claude-response-body"/>
        <w:rPr>
          <w:i/>
          <w:iCs/>
          <w:color w:val="000000"/>
          <w:sz w:val="22"/>
          <w:szCs w:val="22"/>
        </w:rPr>
      </w:pPr>
      <w:r w:rsidRPr="00D005A3">
        <w:rPr>
          <w:i/>
          <w:iCs/>
          <w:color w:val="000000"/>
          <w:sz w:val="22"/>
          <w:szCs w:val="22"/>
        </w:rPr>
        <w:t>Monetary policy shocks are zero-imputed on non-event trading days, so the shock variables take nonzero values only on the 376 MPC event dates within the estimation sample. This is equivalent to an event-time local projection in which non-event days contribute only to the estimation of the lagged-return controls, while the shock coefficients are identified purely from event-day variation.</w:t>
      </w:r>
    </w:p>
    <w:p w14:paraId="20042E5C" w14:textId="77777777" w:rsidR="00D005A3" w:rsidRDefault="00D005A3" w:rsidP="00BD711B">
      <w:pPr>
        <w:pStyle w:val="font-claude-response-body"/>
        <w:rPr>
          <w:color w:val="000000"/>
        </w:rPr>
      </w:pPr>
    </w:p>
    <w:p w14:paraId="06CDFCDE" w14:textId="77777777" w:rsidR="00BD711B" w:rsidRDefault="00BD711B" w:rsidP="00BD711B">
      <w:pPr>
        <w:pStyle w:val="font-claude-response-body"/>
        <w:rPr>
          <w:color w:val="000000"/>
        </w:rPr>
      </w:pPr>
      <w:r>
        <w:rPr>
          <w:rStyle w:val="Strong"/>
          <w:color w:val="000000"/>
        </w:rPr>
        <w:t>5.3 Inference and asymmetry test (~0.5 pp).</w:t>
      </w:r>
      <w:r>
        <w:rPr>
          <w:rStyle w:val="apple-converted-space"/>
          <w:color w:val="000000"/>
        </w:rPr>
        <w:t> </w:t>
      </w:r>
      <w:r>
        <w:rPr>
          <w:color w:val="000000"/>
        </w:rPr>
        <w:t>HAC/Newey-West standard errors with</w:t>
      </w:r>
      <w:r>
        <w:rPr>
          <w:rStyle w:val="apple-converted-space"/>
          <w:color w:val="000000"/>
        </w:rPr>
        <w:t> </w:t>
      </w:r>
      <w:proofErr w:type="spellStart"/>
      <w:r>
        <w:rPr>
          <w:rStyle w:val="HTMLCode"/>
          <w:color w:val="000000"/>
        </w:rPr>
        <w:t>maxlags</w:t>
      </w:r>
      <w:proofErr w:type="spellEnd"/>
      <w:r>
        <w:rPr>
          <w:rStyle w:val="HTMLCode"/>
          <w:color w:val="000000"/>
        </w:rPr>
        <w:t xml:space="preserve"> = h + 1</w:t>
      </w:r>
      <w:r>
        <w:rPr>
          <w:color w:val="000000"/>
        </w:rPr>
        <w:t>. 95% CIs use ±1.96 SE. Asymmetry test:</w:t>
      </w:r>
      <w:r>
        <w:rPr>
          <w:rStyle w:val="apple-converted-space"/>
          <w:color w:val="000000"/>
        </w:rPr>
        <w:t>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h</m:t>
            </m:r>
          </m:sub>
          <m:sup>
            <m:r>
              <w:rPr>
                <w:rFonts w:ascii="Cambria Math" w:hAnsi="Cambria Math"/>
              </w:rPr>
              <m:t>-</m:t>
            </m:r>
          </m:sup>
        </m:sSubSup>
      </m:oMath>
      <w:r>
        <w:rPr>
          <w:color w:val="000000"/>
        </w:rPr>
        <w:t>, implemented via Wald test at each horizon.</w:t>
      </w:r>
    </w:p>
    <w:p w14:paraId="276A8F97" w14:textId="77777777" w:rsidR="00BD711B" w:rsidRDefault="00BD711B" w:rsidP="00BD711B">
      <w:pPr>
        <w:pStyle w:val="font-claude-response-body"/>
        <w:rPr>
          <w:color w:val="000000"/>
        </w:rPr>
      </w:pPr>
      <w:r>
        <w:rPr>
          <w:rStyle w:val="Strong"/>
          <w:color w:val="000000"/>
        </w:rPr>
        <w:t>5.4 Specification map (~0.5 pp).</w:t>
      </w:r>
      <w:r>
        <w:rPr>
          <w:rStyle w:val="apple-converted-space"/>
          <w:color w:val="000000"/>
        </w:rPr>
        <w:t> </w:t>
      </w:r>
      <w:r>
        <w:rPr>
          <w:color w:val="000000"/>
        </w:rPr>
        <w:t>State upfront what you run and why:</w:t>
      </w:r>
    </w:p>
    <w:p w14:paraId="3E135D83" w14:textId="77777777" w:rsidR="00BD711B" w:rsidRDefault="00BD711B" w:rsidP="00BD711B">
      <w:pPr>
        <w:pStyle w:val="whitespace-normal"/>
        <w:numPr>
          <w:ilvl w:val="0"/>
          <w:numId w:val="31"/>
        </w:numPr>
        <w:rPr>
          <w:color w:val="000000"/>
        </w:rPr>
      </w:pPr>
      <w:r>
        <w:rPr>
          <w:color w:val="000000"/>
        </w:rPr>
        <w:t>Baseline: 5 own-return lags, no external controls (Section 6).</w:t>
      </w:r>
    </w:p>
    <w:p w14:paraId="07F73346" w14:textId="77777777" w:rsidR="00BD711B" w:rsidRDefault="00BD711B" w:rsidP="00BD711B">
      <w:pPr>
        <w:pStyle w:val="whitespace-normal"/>
        <w:numPr>
          <w:ilvl w:val="0"/>
          <w:numId w:val="31"/>
        </w:numPr>
        <w:rPr>
          <w:color w:val="000000"/>
        </w:rPr>
      </w:pPr>
      <w:r>
        <w:rPr>
          <w:color w:val="000000"/>
        </w:rPr>
        <w:t>Regime specifications: full/pre-QE/post-QE/post-Super-Thursday/COVID-onward (Section 7).</w:t>
      </w:r>
    </w:p>
    <w:p w14:paraId="3176BF40" w14:textId="77777777" w:rsidR="00BD711B" w:rsidRDefault="00BD711B" w:rsidP="00BD711B">
      <w:pPr>
        <w:pStyle w:val="whitespace-normal"/>
        <w:numPr>
          <w:ilvl w:val="0"/>
          <w:numId w:val="31"/>
        </w:numPr>
        <w:rPr>
          <w:color w:val="000000"/>
        </w:rPr>
      </w:pPr>
      <w:r>
        <w:rPr>
          <w:color w:val="000000"/>
        </w:rPr>
        <w:t>Robustness: Lag10, FTSE 100 controls, All-Share controls, dual controls (Section 8).</w:t>
      </w:r>
    </w:p>
    <w:p w14:paraId="5BEA77C1" w14:textId="092A2352" w:rsidR="00BD711B" w:rsidRPr="00BD711B" w:rsidRDefault="00BD711B" w:rsidP="00BD711B">
      <w:pPr>
        <w:pStyle w:val="font-claude-response-body"/>
        <w:rPr>
          <w:color w:val="000000"/>
        </w:rPr>
      </w:pPr>
      <w:r>
        <w:rPr>
          <w:color w:val="000000"/>
        </w:rPr>
        <w:t>This one paragraph saves the reader from wondering "where does specification X go?" as they read later sections.</w:t>
      </w:r>
    </w:p>
    <w:p w14:paraId="4D010286" w14:textId="77777777" w:rsidR="00BD711B" w:rsidRPr="00A96C4F" w:rsidRDefault="00BD711B" w:rsidP="00BD711B">
      <w:pPr>
        <w:spacing w:after="0" w:line="360" w:lineRule="auto"/>
        <w:rPr>
          <w:rFonts w:ascii="Times New Roman" w:eastAsia="Times New Roman" w:hAnsi="Times New Roman" w:cs="Times New Roman"/>
          <w:color w:val="000000"/>
          <w:kern w:val="0"/>
          <w:sz w:val="22"/>
          <w:szCs w:val="22"/>
          <w:u w:val="single"/>
          <w:lang w:eastAsia="en-GB"/>
          <w14:ligatures w14:val="none"/>
        </w:rPr>
      </w:pPr>
      <w:r w:rsidRPr="00A96C4F">
        <w:rPr>
          <w:rFonts w:ascii="Times New Roman" w:hAnsi="Times New Roman" w:cs="Times New Roman"/>
          <w:color w:val="000000"/>
          <w:sz w:val="22"/>
          <w:szCs w:val="22"/>
        </w:rPr>
        <w:lastRenderedPageBreak/>
        <w:t>I originally had Section 5.4 as a plain listing of specifications. Replace that with a version that maps each specification to the axis it tests. This is where the framing becomes</w:t>
      </w:r>
      <w:r w:rsidRPr="00A96C4F">
        <w:rPr>
          <w:rStyle w:val="apple-converted-space"/>
          <w:rFonts w:ascii="Times New Roman" w:hAnsi="Times New Roman" w:cs="Times New Roman"/>
          <w:color w:val="000000"/>
          <w:sz w:val="22"/>
          <w:szCs w:val="22"/>
        </w:rPr>
        <w:t> </w:t>
      </w:r>
      <w:r w:rsidRPr="00A96C4F">
        <w:rPr>
          <w:rStyle w:val="Emphasis"/>
          <w:rFonts w:ascii="Times New Roman" w:hAnsi="Times New Roman" w:cs="Times New Roman"/>
          <w:color w:val="000000"/>
          <w:sz w:val="22"/>
          <w:szCs w:val="22"/>
        </w:rPr>
        <w:t>operational</w:t>
      </w:r>
      <w:r w:rsidRPr="00A96C4F">
        <w:rPr>
          <w:rStyle w:val="apple-converted-space"/>
          <w:rFonts w:ascii="Times New Roman" w:hAnsi="Times New Roman" w:cs="Times New Roman"/>
          <w:color w:val="000000"/>
          <w:sz w:val="22"/>
          <w:szCs w:val="22"/>
        </w:rPr>
        <w:t> </w:t>
      </w:r>
      <w:r w:rsidRPr="00A96C4F">
        <w:rPr>
          <w:rFonts w:ascii="Times New Roman" w:hAnsi="Times New Roman" w:cs="Times New Roman"/>
          <w:color w:val="000000"/>
          <w:sz w:val="22"/>
          <w:szCs w:val="22"/>
        </w:rPr>
        <w:t>— you're telling the reader how the axes get implemented in estimation.</w:t>
      </w:r>
    </w:p>
    <w:p w14:paraId="3ACABF99" w14:textId="77777777" w:rsidR="00BD711B" w:rsidRPr="00A96C4F" w:rsidRDefault="00BD711B" w:rsidP="00BD711B">
      <w:pPr>
        <w:pStyle w:val="font-claude-response-body"/>
        <w:spacing w:line="360" w:lineRule="auto"/>
        <w:rPr>
          <w:color w:val="000000"/>
          <w:sz w:val="22"/>
          <w:szCs w:val="22"/>
        </w:rPr>
      </w:pPr>
      <w:r w:rsidRPr="00A96C4F">
        <w:rPr>
          <w:color w:val="000000"/>
          <w:sz w:val="22"/>
          <w:szCs w:val="22"/>
        </w:rPr>
        <w:t>Structure it as:</w:t>
      </w:r>
      <w:r w:rsidRPr="00A96C4F">
        <w:rPr>
          <w:rStyle w:val="apple-converted-space"/>
          <w:color w:val="000000"/>
          <w:sz w:val="22"/>
          <w:szCs w:val="22"/>
        </w:rPr>
        <w:t> </w:t>
      </w:r>
      <w:r w:rsidRPr="00A96C4F">
        <w:rPr>
          <w:rStyle w:val="Emphasis"/>
          <w:color w:val="000000"/>
          <w:sz w:val="22"/>
          <w:szCs w:val="22"/>
        </w:rPr>
        <w:t>"Axis 1 (shock type) is addressed by estimating the baseline specification separately for Target, Path, and QE shocks. Axis 2 (horizons) is addressed by the LP design itself, which produces responses at horizons h = 0 through 20. Axis 3 (regimes) is addressed by re-estimating the baseline on four subsamples defined by regime break dates."</w:t>
      </w:r>
    </w:p>
    <w:p w14:paraId="0F252029" w14:textId="77777777" w:rsidR="00BD711B" w:rsidRDefault="00BD711B" w:rsidP="00BD711B">
      <w:pPr>
        <w:pStyle w:val="font-claude-response-body"/>
        <w:spacing w:line="360" w:lineRule="auto"/>
        <w:rPr>
          <w:color w:val="000000"/>
          <w:sz w:val="22"/>
          <w:szCs w:val="22"/>
        </w:rPr>
      </w:pPr>
      <w:r w:rsidRPr="00A96C4F">
        <w:rPr>
          <w:color w:val="000000"/>
          <w:sz w:val="22"/>
          <w:szCs w:val="22"/>
        </w:rPr>
        <w:t>This version of 5.4 reads tighter and tells the reader which section answers which axis — which is the cleanest possible setup for Sections 6 and 7.</w:t>
      </w:r>
    </w:p>
    <w:p w14:paraId="152BD91D" w14:textId="77777777" w:rsidR="00BD711B" w:rsidRDefault="00BD711B" w:rsidP="00BD711B">
      <w:pPr>
        <w:pStyle w:val="font-claude-response-body"/>
        <w:rPr>
          <w:color w:val="000000"/>
        </w:rPr>
      </w:pPr>
      <w:r>
        <w:rPr>
          <w:rStyle w:val="Strong"/>
          <w:color w:val="000000"/>
        </w:rPr>
        <w:t>the "run separate LPs for each shock, then joint for robustness" decision:</w:t>
      </w:r>
    </w:p>
    <w:p w14:paraId="4E34EAAD" w14:textId="77777777" w:rsidR="00BD711B" w:rsidRDefault="00BD711B" w:rsidP="00BD711B">
      <w:pPr>
        <w:pStyle w:val="font-claude-response-body"/>
        <w:rPr>
          <w:color w:val="000000"/>
        </w:rPr>
      </w:pPr>
      <w:r>
        <w:rPr>
          <w:color w:val="000000"/>
        </w:rPr>
        <w:t>This is a real specification choice and deserves a sentence in 5.4. Your instinct is correct: run three separate LP regressions (one per shock factor) as the main specification, because it produces cleaner horizon-by-horizon estimates and avoids multicollinearity between factors. Then a joint specification (all three shocks together) as a robustness check.</w:t>
      </w:r>
    </w:p>
    <w:p w14:paraId="5F1BD114" w14:textId="77777777" w:rsidR="00BD711B" w:rsidRDefault="00BD711B" w:rsidP="00BD711B">
      <w:pPr>
        <w:pStyle w:val="font-claude-response-body"/>
        <w:rPr>
          <w:color w:val="000000"/>
        </w:rPr>
      </w:pPr>
      <w:r>
        <w:rPr>
          <w:color w:val="000000"/>
        </w:rPr>
        <w:t>Add to 5.4:</w:t>
      </w:r>
      <w:r>
        <w:rPr>
          <w:rStyle w:val="apple-converted-space"/>
          <w:color w:val="000000"/>
        </w:rPr>
        <w:t> </w:t>
      </w:r>
      <w:r>
        <w:rPr>
          <w:rStyle w:val="Emphasis"/>
          <w:color w:val="000000"/>
        </w:rPr>
        <w:t>"The baseline estimates are run separately for each shock factor to produce cleanly identified responses uncontaminated by cross-factor correlation. A joint specification with all three factors entering simultaneously is reported as a robustness check in Section 8."</w:t>
      </w:r>
    </w:p>
    <w:p w14:paraId="30B0B3AB" w14:textId="77777777" w:rsidR="00BD711B" w:rsidRPr="00A96C4F" w:rsidRDefault="00BD711B" w:rsidP="00BD711B">
      <w:pPr>
        <w:pStyle w:val="font-claude-response-body"/>
        <w:spacing w:line="360" w:lineRule="auto"/>
        <w:rPr>
          <w:color w:val="000000"/>
          <w:sz w:val="22"/>
          <w:szCs w:val="22"/>
        </w:rPr>
      </w:pPr>
    </w:p>
    <w:p w14:paraId="69617C4D" w14:textId="77777777" w:rsidR="00BD711B" w:rsidRDefault="00BD711B" w:rsidP="00BD711B">
      <w:pPr>
        <w:pStyle w:val="font-claude-response-body"/>
        <w:rPr>
          <w:color w:val="000000"/>
        </w:rPr>
      </w:pPr>
    </w:p>
    <w:p w14:paraId="46DDC351" w14:textId="77777777" w:rsidR="00BD711B" w:rsidRDefault="00BD711B" w:rsidP="00BD711B">
      <w:pPr>
        <w:pStyle w:val="font-claude-response-body"/>
        <w:rPr>
          <w:color w:val="000000"/>
        </w:rPr>
      </w:pPr>
      <w:r>
        <w:rPr>
          <w:rStyle w:val="Strong"/>
          <w:color w:val="000000"/>
        </w:rPr>
        <w:t>5.5 Limitations of the approach (~0.5 pp).</w:t>
      </w:r>
      <w:r>
        <w:rPr>
          <w:rStyle w:val="apple-converted-space"/>
          <w:color w:val="000000"/>
        </w:rPr>
        <w:t> </w:t>
      </w:r>
      <w:r>
        <w:rPr>
          <w:color w:val="000000"/>
        </w:rPr>
        <w:t>Daily rather than intraday returns: shocks are intraday-identified but responses are daily, so same-day contamination is possible. LP precision deteriorates at longer horizons. Information-effect contamination is not separately identified in your main specification — flag as discussion point, not a gap you close.</w:t>
      </w:r>
    </w:p>
    <w:p w14:paraId="449AC701" w14:textId="77777777" w:rsidR="00BD711B" w:rsidRDefault="00BD711B" w:rsidP="00BD711B">
      <w:pPr>
        <w:pStyle w:val="font-claude-response-body"/>
        <w:rPr>
          <w:color w:val="000000"/>
        </w:rPr>
      </w:pPr>
      <w:r>
        <w:rPr>
          <w:rStyle w:val="Strong"/>
          <w:color w:val="000000"/>
        </w:rPr>
        <w:t>No figures/tables</w:t>
      </w:r>
      <w:r>
        <w:rPr>
          <w:rStyle w:val="apple-converted-space"/>
          <w:color w:val="000000"/>
        </w:rPr>
        <w:t> </w:t>
      </w:r>
      <w:r>
        <w:rPr>
          <w:color w:val="000000"/>
        </w:rPr>
        <w:t>in methodology</w:t>
      </w:r>
    </w:p>
    <w:p w14:paraId="6C25827E" w14:textId="77777777" w:rsidR="00274D9D" w:rsidRPr="00A070DF" w:rsidRDefault="00274D9D">
      <w:pPr>
        <w:rPr>
          <w:rFonts w:ascii="Times New Roman" w:hAnsi="Times New Roman" w:cs="Times New Roman"/>
          <w:kern w:val="0"/>
          <w:sz w:val="22"/>
          <w:szCs w:val="22"/>
        </w:rPr>
      </w:pPr>
      <w:r w:rsidRPr="00A070DF">
        <w:rPr>
          <w:rFonts w:ascii="Times New Roman" w:hAnsi="Times New Roman" w:cs="Times New Roman"/>
          <w:kern w:val="0"/>
          <w:sz w:val="22"/>
          <w:szCs w:val="22"/>
        </w:rPr>
        <w:br w:type="page"/>
      </w:r>
    </w:p>
    <w:p w14:paraId="40FE43DE" w14:textId="3AC99FA5" w:rsidR="00CE4707" w:rsidRPr="00CE4707" w:rsidRDefault="00A96C4F" w:rsidP="00CE4707">
      <w:pPr>
        <w:pStyle w:val="Heading1"/>
        <w:numPr>
          <w:ilvl w:val="0"/>
          <w:numId w:val="30"/>
        </w:numPr>
        <w:rPr>
          <w:rStyle w:val="Strong"/>
          <w:b w:val="0"/>
          <w:bCs w:val="0"/>
        </w:rPr>
      </w:pPr>
      <w:bookmarkStart w:id="5" w:name="_Toc227839912"/>
      <w:r>
        <w:lastRenderedPageBreak/>
        <w:t>Baseline Asymmetric Results</w:t>
      </w:r>
      <w:r w:rsidR="0030785C">
        <w:t xml:space="preserve"> – </w:t>
      </w:r>
      <w:r w:rsidR="00E722DD">
        <w:t>5</w:t>
      </w:r>
      <w:r w:rsidR="0030785C">
        <w:t xml:space="preserve"> pages</w:t>
      </w:r>
      <w:bookmarkEnd w:id="5"/>
    </w:p>
    <w:p w14:paraId="1A8D31F8" w14:textId="77777777" w:rsidR="00CE4707" w:rsidRDefault="00CE4707" w:rsidP="00CE4707">
      <w:pPr>
        <w:rPr>
          <w:rStyle w:val="Strong"/>
          <w:rFonts w:ascii="Times New Roman" w:hAnsi="Times New Roman" w:cs="Times New Roman"/>
          <w:color w:val="000000"/>
          <w:sz w:val="22"/>
          <w:szCs w:val="22"/>
        </w:rPr>
      </w:pPr>
    </w:p>
    <w:p w14:paraId="5EEA0BFA" w14:textId="5CB80463" w:rsidR="00E722DD" w:rsidRPr="00CE4707" w:rsidRDefault="00E722DD" w:rsidP="00CE4707">
      <w:pPr>
        <w:rPr>
          <w:color w:val="0F4761" w:themeColor="accent1" w:themeShade="BF"/>
          <w:sz w:val="22"/>
          <w:szCs w:val="22"/>
        </w:rPr>
      </w:pPr>
      <w:r w:rsidRPr="00CE4707">
        <w:rPr>
          <w:rStyle w:val="Strong"/>
          <w:rFonts w:ascii="Times New Roman" w:hAnsi="Times New Roman" w:cs="Times New Roman"/>
          <w:color w:val="000000"/>
          <w:sz w:val="22"/>
          <w:szCs w:val="22"/>
        </w:rPr>
        <w:t>6.1 Target shocks: the main finding (~2 pp).</w:t>
      </w:r>
    </w:p>
    <w:p w14:paraId="53DA4CD0" w14:textId="77777777" w:rsidR="00E722DD" w:rsidRPr="00CE4707" w:rsidRDefault="00E722DD" w:rsidP="00CE4707">
      <w:pPr>
        <w:rPr>
          <w:sz w:val="22"/>
          <w:szCs w:val="22"/>
        </w:rPr>
      </w:pPr>
      <w:r w:rsidRPr="00CE4707">
        <w:rPr>
          <w:sz w:val="22"/>
          <w:szCs w:val="22"/>
        </w:rPr>
        <w:t>Main-text</w:t>
      </w:r>
      <w:r w:rsidRPr="00CE4707">
        <w:rPr>
          <w:rStyle w:val="apple-converted-space"/>
          <w:rFonts w:ascii="Times New Roman" w:hAnsi="Times New Roman" w:cs="Times New Roman"/>
          <w:color w:val="000000"/>
          <w:sz w:val="22"/>
          <w:szCs w:val="22"/>
        </w:rPr>
        <w:t> </w:t>
      </w:r>
      <w:r w:rsidRPr="00CE4707">
        <w:rPr>
          <w:rStyle w:val="Strong"/>
          <w:rFonts w:ascii="Times New Roman" w:hAnsi="Times New Roman" w:cs="Times New Roman"/>
          <w:color w:val="000000"/>
          <w:sz w:val="22"/>
          <w:szCs w:val="22"/>
        </w:rPr>
        <w:t>Figure 2:</w:t>
      </w:r>
      <w:r w:rsidRPr="00CE4707">
        <w:rPr>
          <w:rStyle w:val="apple-converted-space"/>
          <w:rFonts w:ascii="Times New Roman" w:hAnsi="Times New Roman" w:cs="Times New Roman"/>
          <w:color w:val="000000"/>
          <w:sz w:val="22"/>
          <w:szCs w:val="22"/>
        </w:rPr>
        <w:t> </w:t>
      </w:r>
      <w:r w:rsidRPr="00CE4707">
        <w:rPr>
          <w:sz w:val="22"/>
          <w:szCs w:val="22"/>
        </w:rPr>
        <w:t>Target-shock impulse responses, two panels side by side — tightening (β</w:t>
      </w:r>
      <w:r w:rsidRPr="00CE4707">
        <w:rPr>
          <w:rFonts w:ascii="Cambria Math" w:hAnsi="Cambria Math" w:cs="Cambria Math"/>
          <w:sz w:val="22"/>
          <w:szCs w:val="22"/>
        </w:rPr>
        <w:t>⁺</w:t>
      </w:r>
      <w:r w:rsidRPr="00CE4707">
        <w:rPr>
          <w:sz w:val="22"/>
          <w:szCs w:val="22"/>
        </w:rPr>
        <w:t xml:space="preserve"> scaled by +σ) and easing (β</w:t>
      </w:r>
      <w:r w:rsidRPr="00CE4707">
        <w:rPr>
          <w:rFonts w:ascii="Cambria Math" w:hAnsi="Cambria Math" w:cs="Cambria Math"/>
          <w:sz w:val="22"/>
          <w:szCs w:val="22"/>
        </w:rPr>
        <w:t>⁻</w:t>
      </w:r>
      <w:r w:rsidRPr="00CE4707">
        <w:rPr>
          <w:sz w:val="22"/>
          <w:szCs w:val="22"/>
        </w:rPr>
        <w:t xml:space="preserve"> scaled by −σ) — with 95% CI bands, horizons 0 to 20. Add a third panel or inset showing asymmetry p-values across horizons.</w:t>
      </w:r>
    </w:p>
    <w:p w14:paraId="78C19CFA" w14:textId="77777777" w:rsidR="00E722DD" w:rsidRPr="00CE4707" w:rsidRDefault="00E722DD" w:rsidP="00CE4707">
      <w:pPr>
        <w:rPr>
          <w:sz w:val="22"/>
          <w:szCs w:val="22"/>
        </w:rPr>
      </w:pPr>
      <w:r w:rsidRPr="00CE4707">
        <w:rPr>
          <w:sz w:val="22"/>
          <w:szCs w:val="22"/>
        </w:rPr>
        <w:t>Narrative: Tightening response is negative and grows with horizon (−0.054% at h=0 to −0.155% at h=10, modestly back to −0.098% at h=20). Easing response is</w:t>
      </w:r>
      <w:r w:rsidRPr="00CE4707">
        <w:rPr>
          <w:rStyle w:val="apple-converted-space"/>
          <w:color w:val="000000"/>
          <w:sz w:val="22"/>
          <w:szCs w:val="22"/>
        </w:rPr>
        <w:t> </w:t>
      </w:r>
      <w:r w:rsidRPr="00CE4707">
        <w:rPr>
          <w:rStyle w:val="Emphasis"/>
          <w:color w:val="000000"/>
          <w:sz w:val="22"/>
          <w:szCs w:val="22"/>
        </w:rPr>
        <w:t>also</w:t>
      </w:r>
      <w:r w:rsidRPr="00CE4707">
        <w:rPr>
          <w:rStyle w:val="apple-converted-space"/>
          <w:color w:val="000000"/>
          <w:sz w:val="22"/>
          <w:szCs w:val="22"/>
        </w:rPr>
        <w:t> </w:t>
      </w:r>
      <w:r w:rsidRPr="00CE4707">
        <w:rPr>
          <w:sz w:val="22"/>
          <w:szCs w:val="22"/>
        </w:rPr>
        <w:t>negative and in fact more negative at medium horizons (−0.045% at h=0, −0.208% at h=5, −0.296% at h=10, −0.247% at h=20). Asymmetry is significant across most horizons (p ≈ 0.008 at h=0, 0.009 at h=5, 0.011 at h=10, weakening to 0.093 at h=20).</w:t>
      </w:r>
    </w:p>
    <w:p w14:paraId="36B025B9" w14:textId="77777777" w:rsidR="00E722DD" w:rsidRDefault="00E722DD" w:rsidP="00E722DD">
      <w:pPr>
        <w:pStyle w:val="font-claude-response-body"/>
        <w:rPr>
          <w:color w:val="000000"/>
        </w:rPr>
      </w:pPr>
      <w:r w:rsidRPr="00CE4707">
        <w:rPr>
          <w:color w:val="000000"/>
          <w:sz w:val="22"/>
          <w:szCs w:val="22"/>
        </w:rPr>
        <w:t>Interpretation</w:t>
      </w:r>
      <w:r>
        <w:rPr>
          <w:color w:val="000000"/>
        </w:rPr>
        <w:t>: this is</w:t>
      </w:r>
      <w:r>
        <w:rPr>
          <w:rStyle w:val="apple-converted-space"/>
          <w:color w:val="000000"/>
        </w:rPr>
        <w:t> </w:t>
      </w:r>
      <w:r>
        <w:rPr>
          <w:rStyle w:val="Emphasis"/>
          <w:color w:val="000000"/>
        </w:rPr>
        <w:t>not</w:t>
      </w:r>
      <w:r>
        <w:rPr>
          <w:rStyle w:val="apple-converted-space"/>
          <w:color w:val="000000"/>
        </w:rPr>
        <w:t> </w:t>
      </w:r>
      <w:r>
        <w:rPr>
          <w:color w:val="000000"/>
        </w:rPr>
        <w:t xml:space="preserve">"tightening bad, easing good" — the standard textbook prediction. Both hurt, and easing hurts more at medium horizons. The most natural interpretation, following </w:t>
      </w:r>
      <w:proofErr w:type="spellStart"/>
      <w:r>
        <w:rPr>
          <w:color w:val="000000"/>
        </w:rPr>
        <w:t>Jarociński</w:t>
      </w:r>
      <w:proofErr w:type="spellEnd"/>
      <w:r>
        <w:rPr>
          <w:color w:val="000000"/>
        </w:rPr>
        <w:t xml:space="preserve"> and Karadi (2020), is that BoE easing surprises are partially read by markets as revelations of worse-than-expected economic conditions. The information content of the signal swamps the pure monetary channel.</w:t>
      </w:r>
    </w:p>
    <w:p w14:paraId="1EA3EA46"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Table 2:</w:t>
      </w:r>
      <w:r>
        <w:rPr>
          <w:rStyle w:val="apple-converted-space"/>
          <w:color w:val="000000"/>
        </w:rPr>
        <w:t> </w:t>
      </w:r>
      <w:r>
        <w:rPr>
          <w:color w:val="000000"/>
        </w:rPr>
        <w:t>Target-shock baseline results at selected horizons (h = 0, 1, 5, 10, 20): β⁺, β⁻, one-SD responses for each, asymmetry p-value, N.</w:t>
      </w:r>
    </w:p>
    <w:p w14:paraId="115F3E86" w14:textId="77777777" w:rsidR="00E722DD" w:rsidRDefault="00E722DD" w:rsidP="00E722DD">
      <w:pPr>
        <w:pStyle w:val="font-claude-response-body"/>
        <w:rPr>
          <w:color w:val="000000"/>
        </w:rPr>
      </w:pPr>
      <w:r>
        <w:rPr>
          <w:rStyle w:val="Strong"/>
          <w:color w:val="000000"/>
        </w:rPr>
        <w:t>6.2 Path shocks: weak and imprecise (~1 pp).</w:t>
      </w:r>
    </w:p>
    <w:p w14:paraId="0DEE4BE9"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Figure 3:</w:t>
      </w:r>
      <w:r>
        <w:rPr>
          <w:rStyle w:val="apple-converted-space"/>
          <w:color w:val="000000"/>
        </w:rPr>
        <w:t> </w:t>
      </w:r>
      <w:r>
        <w:rPr>
          <w:color w:val="000000"/>
        </w:rPr>
        <w:t>Path-shock IRFs, same format as Figure 2.</w:t>
      </w:r>
    </w:p>
    <w:p w14:paraId="09E2EA16" w14:textId="77777777" w:rsidR="00E722DD" w:rsidRDefault="00E722DD" w:rsidP="00E722DD">
      <w:pPr>
        <w:pStyle w:val="font-claude-response-body"/>
        <w:rPr>
          <w:color w:val="000000"/>
        </w:rPr>
      </w:pPr>
      <w:r>
        <w:rPr>
          <w:color w:val="000000"/>
        </w:rPr>
        <w:t>Narrative: coefficients are mixed in sign, CIs wide, asymmetry p-values large and insignificant at most horizons. Honest statement: baseline evidence does not support meaningful asymmetric response to forward-guidance surprises. Note that this is itself an interesting null — UK forward guidance may be priced in more symmetrically, or the Path factor may be noisier in the UK setting than in the US (Swanson 2021 vs Braun et al. 2024 comparison worth one sentence).</w:t>
      </w:r>
    </w:p>
    <w:p w14:paraId="613B098F" w14:textId="77777777" w:rsidR="00E722DD" w:rsidRDefault="00E722DD" w:rsidP="00E722DD">
      <w:pPr>
        <w:pStyle w:val="font-claude-response-body"/>
        <w:rPr>
          <w:color w:val="000000"/>
        </w:rPr>
      </w:pPr>
      <w:r>
        <w:rPr>
          <w:rStyle w:val="Strong"/>
          <w:color w:val="000000"/>
        </w:rPr>
        <w:t>6.3 QE shocks: imprecise and concentrated post-2009 (~1 pp).</w:t>
      </w:r>
    </w:p>
    <w:p w14:paraId="30EA9C4D"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Figure 4:</w:t>
      </w:r>
      <w:r>
        <w:rPr>
          <w:rStyle w:val="apple-converted-space"/>
          <w:color w:val="000000"/>
        </w:rPr>
        <w:t> </w:t>
      </w:r>
      <w:r>
        <w:rPr>
          <w:color w:val="000000"/>
        </w:rPr>
        <w:t>QE-shock IRFs, post-2009 sample.</w:t>
      </w:r>
    </w:p>
    <w:p w14:paraId="337AF849" w14:textId="77777777" w:rsidR="00E722DD" w:rsidRDefault="00E722DD" w:rsidP="00E722DD">
      <w:pPr>
        <w:pStyle w:val="font-claude-response-body"/>
        <w:rPr>
          <w:color w:val="000000"/>
        </w:rPr>
      </w:pPr>
      <w:r>
        <w:rPr>
          <w:color w:val="000000"/>
        </w:rPr>
        <w:t>Narrative: QE only becomes meaningful after March 2009, so baseline estimates use the post-QE sample. One-SD responses (0.008% at h=0 rising to 0.373% at h=20 for easing) suggest QE easing may support equities at longer horizons, but CIs are very wide and asymmetry p-values mostly insignificant (borderline at h=20 with p ≈ 0.073). Do not overclaim. One paragraph is enough.</w:t>
      </w:r>
    </w:p>
    <w:p w14:paraId="0F93D8D9" w14:textId="77777777" w:rsidR="00E722DD" w:rsidRDefault="00E722DD" w:rsidP="00E722DD">
      <w:pPr>
        <w:pStyle w:val="font-claude-response-body"/>
        <w:rPr>
          <w:color w:val="000000"/>
        </w:rPr>
      </w:pPr>
      <w:r>
        <w:rPr>
          <w:rStyle w:val="Strong"/>
          <w:color w:val="000000"/>
        </w:rPr>
        <w:lastRenderedPageBreak/>
        <w:t>6.4 Summary (~0.5 pp).</w:t>
      </w:r>
      <w:r>
        <w:rPr>
          <w:rStyle w:val="apple-converted-space"/>
          <w:color w:val="000000"/>
        </w:rPr>
        <w:t> </w:t>
      </w:r>
      <w:r>
        <w:rPr>
          <w:color w:val="000000"/>
        </w:rPr>
        <w:t>Three-line takeaway: Target asymmetry is the robust finding; Path effects are weak; QE is directionally suggestive but imprecise. Preview the regime analysis.</w:t>
      </w:r>
    </w:p>
    <w:p w14:paraId="35F2A585" w14:textId="77777777" w:rsidR="00E722DD" w:rsidRDefault="00E722DD" w:rsidP="00E722DD">
      <w:pPr>
        <w:pStyle w:val="font-claude-response-body"/>
        <w:rPr>
          <w:color w:val="000000"/>
        </w:rPr>
      </w:pPr>
      <w:r>
        <w:rPr>
          <w:rStyle w:val="Strong"/>
          <w:color w:val="000000"/>
        </w:rPr>
        <w:t>Appendix (not main text):</w:t>
      </w:r>
      <w:r>
        <w:rPr>
          <w:rStyle w:val="apple-converted-space"/>
          <w:color w:val="000000"/>
        </w:rPr>
        <w:t> </w:t>
      </w:r>
      <w:r>
        <w:rPr>
          <w:color w:val="000000"/>
        </w:rPr>
        <w:t>Full IRF tables for all 21 horizons, all three shocks. Coefficient-level tables (not just one-SD responses). Lagged-return coefficients. Plots of residual diagnostics.</w:t>
      </w:r>
    </w:p>
    <w:p w14:paraId="385D87AC" w14:textId="40DC01DF" w:rsidR="00700F73" w:rsidRDefault="00700F73">
      <w:pPr>
        <w:rPr>
          <w:rFonts w:ascii="Times New Roman" w:hAnsi="Times New Roman" w:cs="Times New Roman"/>
          <w:kern w:val="0"/>
          <w:sz w:val="22"/>
          <w:szCs w:val="22"/>
        </w:rPr>
      </w:pPr>
      <w:r>
        <w:rPr>
          <w:rFonts w:ascii="Times New Roman" w:hAnsi="Times New Roman" w:cs="Times New Roman"/>
          <w:kern w:val="0"/>
          <w:sz w:val="22"/>
          <w:szCs w:val="22"/>
        </w:rPr>
        <w:br w:type="page"/>
      </w:r>
    </w:p>
    <w:p w14:paraId="7A935746" w14:textId="479D2CFD" w:rsidR="00E722DD" w:rsidRPr="00E722DD" w:rsidRDefault="00E722DD" w:rsidP="00E722DD">
      <w:pPr>
        <w:pStyle w:val="Heading1"/>
        <w:numPr>
          <w:ilvl w:val="0"/>
          <w:numId w:val="30"/>
        </w:numPr>
      </w:pPr>
      <w:bookmarkStart w:id="6" w:name="_Toc227839913"/>
      <w:r>
        <w:lastRenderedPageBreak/>
        <w:t>Regime Analysis – 3 pages</w:t>
      </w:r>
      <w:bookmarkEnd w:id="6"/>
      <w:r>
        <w:t xml:space="preserve"> </w:t>
      </w:r>
    </w:p>
    <w:p w14:paraId="07F479D2" w14:textId="77777777" w:rsidR="00E722DD" w:rsidRDefault="00E722DD" w:rsidP="00E722DD">
      <w:pPr>
        <w:pStyle w:val="font-claude-response-body"/>
        <w:rPr>
          <w:color w:val="000000"/>
        </w:rPr>
      </w:pPr>
      <w:r>
        <w:rPr>
          <w:color w:val="000000"/>
        </w:rPr>
        <w:t>This is where "how do these effects evolve over time?" lives.</w:t>
      </w:r>
    </w:p>
    <w:p w14:paraId="48F22D5A" w14:textId="77777777" w:rsidR="00E722DD" w:rsidRDefault="00E722DD" w:rsidP="00E722DD">
      <w:pPr>
        <w:pStyle w:val="font-claude-response-body"/>
        <w:rPr>
          <w:color w:val="000000"/>
        </w:rPr>
      </w:pPr>
      <w:r>
        <w:rPr>
          <w:rStyle w:val="Strong"/>
          <w:color w:val="000000"/>
        </w:rPr>
        <w:t>7.1 Approach (~0.25 pp).</w:t>
      </w:r>
      <w:r>
        <w:rPr>
          <w:rStyle w:val="apple-converted-space"/>
          <w:color w:val="000000"/>
        </w:rPr>
        <w:t> </w:t>
      </w:r>
      <w:r>
        <w:rPr>
          <w:color w:val="000000"/>
        </w:rPr>
        <w:t>Sample splits at 2009-03-05 (QE), 2015-08-06 (Super Thursday), 2020-03-01 (COVID), 2022-01-01 (QT). Briefly note: interaction-dummy specification from v4 as alternative.</w:t>
      </w:r>
    </w:p>
    <w:p w14:paraId="0DC2BB27" w14:textId="77777777" w:rsidR="00E722DD" w:rsidRDefault="00E722DD" w:rsidP="00E722DD">
      <w:pPr>
        <w:pStyle w:val="font-claude-response-body"/>
        <w:rPr>
          <w:color w:val="000000"/>
        </w:rPr>
      </w:pPr>
      <w:r>
        <w:rPr>
          <w:rStyle w:val="Strong"/>
          <w:color w:val="000000"/>
        </w:rPr>
        <w:t>7.2 Pre-QE vs post-QE (~0.75 pp).</w:t>
      </w:r>
      <w:r>
        <w:rPr>
          <w:rStyle w:val="apple-converted-space"/>
          <w:color w:val="000000"/>
        </w:rPr>
        <w:t> </w:t>
      </w:r>
      <w:r>
        <w:rPr>
          <w:color w:val="000000"/>
        </w:rPr>
        <w:t>Focus on whether Target asymmetry strengthens or weakens after QE regime begins. Report qualitatively; do not re-print full IRFs for each subsample.</w:t>
      </w:r>
    </w:p>
    <w:p w14:paraId="02927866" w14:textId="77777777" w:rsidR="00E722DD" w:rsidRDefault="00E722DD" w:rsidP="00E722DD">
      <w:pPr>
        <w:pStyle w:val="font-claude-response-body"/>
        <w:rPr>
          <w:color w:val="000000"/>
        </w:rPr>
      </w:pPr>
      <w:r>
        <w:rPr>
          <w:rStyle w:val="Strong"/>
          <w:color w:val="000000"/>
        </w:rPr>
        <w:t>7.3 Super Thursday and communication-regime change (~0.5 pp).</w:t>
      </w:r>
      <w:r>
        <w:rPr>
          <w:rStyle w:val="apple-converted-space"/>
          <w:color w:val="000000"/>
        </w:rPr>
        <w:t> </w:t>
      </w:r>
      <w:r>
        <w:rPr>
          <w:color w:val="000000"/>
        </w:rPr>
        <w:t>Did the shift to pre-announced MPC communication alter transmission? Brief.</w:t>
      </w:r>
    </w:p>
    <w:p w14:paraId="4821A17E" w14:textId="77777777" w:rsidR="00E722DD" w:rsidRDefault="00E722DD" w:rsidP="00E722DD">
      <w:pPr>
        <w:pStyle w:val="font-claude-response-body"/>
        <w:rPr>
          <w:color w:val="000000"/>
        </w:rPr>
      </w:pPr>
      <w:r>
        <w:rPr>
          <w:rStyle w:val="Strong"/>
          <w:color w:val="000000"/>
        </w:rPr>
        <w:t>7.4 COVID and QT eras (~0.75 pp).</w:t>
      </w:r>
      <w:r>
        <w:rPr>
          <w:rStyle w:val="apple-converted-space"/>
          <w:color w:val="000000"/>
        </w:rPr>
        <w:t> </w:t>
      </w:r>
      <w:r>
        <w:rPr>
          <w:color w:val="000000"/>
        </w:rPr>
        <w:t>What happens in the 2020+ sample, where macro volatility is extreme and policy moved rapidly in both directions?</w:t>
      </w:r>
    </w:p>
    <w:p w14:paraId="4D3D40B5" w14:textId="77777777" w:rsidR="00E722DD" w:rsidRDefault="00E722DD" w:rsidP="00E722DD">
      <w:pPr>
        <w:pStyle w:val="font-claude-response-body"/>
        <w:rPr>
          <w:color w:val="000000"/>
        </w:rPr>
      </w:pPr>
      <w:r>
        <w:rPr>
          <w:rStyle w:val="Strong"/>
          <w:color w:val="000000"/>
        </w:rPr>
        <w:t>7.5 Summary (~0.5 pp).</w:t>
      </w:r>
      <w:r>
        <w:rPr>
          <w:rStyle w:val="apple-converted-space"/>
          <w:color w:val="000000"/>
        </w:rPr>
        <w:t> </w:t>
      </w:r>
      <w:r>
        <w:rPr>
          <w:color w:val="000000"/>
        </w:rPr>
        <w:t>Overall: is Target asymmetry stable across regimes, or driven by a particular era? State honestly.</w:t>
      </w:r>
    </w:p>
    <w:p w14:paraId="41E839BE"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Figure 5:</w:t>
      </w:r>
      <w:r>
        <w:rPr>
          <w:rStyle w:val="apple-converted-space"/>
          <w:color w:val="000000"/>
        </w:rPr>
        <w:t> </w:t>
      </w:r>
      <w:r>
        <w:rPr>
          <w:color w:val="000000"/>
        </w:rPr>
        <w:t>A single multi-panel figure showing Target-shock IRFs (tightening and easing) across the four regimes — small multiples. Much more compact than one figure per regime.</w:t>
      </w:r>
    </w:p>
    <w:p w14:paraId="04FC0DA3"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Table 3:</w:t>
      </w:r>
      <w:r>
        <w:rPr>
          <w:rStyle w:val="apple-converted-space"/>
          <w:color w:val="000000"/>
        </w:rPr>
        <w:t> </w:t>
      </w:r>
      <w:r>
        <w:rPr>
          <w:color w:val="000000"/>
        </w:rPr>
        <w:t>Asymmetry p-values for Target shocks across regimes at h = 0, 5, 10, 20.</w:t>
      </w:r>
    </w:p>
    <w:p w14:paraId="54A3D0FF" w14:textId="77777777" w:rsidR="00E722DD" w:rsidRDefault="00E722DD" w:rsidP="00E722DD">
      <w:pPr>
        <w:pStyle w:val="font-claude-response-body"/>
        <w:rPr>
          <w:color w:val="000000"/>
        </w:rPr>
      </w:pPr>
      <w:r>
        <w:rPr>
          <w:rStyle w:val="Strong"/>
          <w:color w:val="000000"/>
        </w:rPr>
        <w:t>Appendix:</w:t>
      </w:r>
      <w:r>
        <w:rPr>
          <w:rStyle w:val="apple-converted-space"/>
          <w:color w:val="000000"/>
        </w:rPr>
        <w:t> </w:t>
      </w:r>
      <w:r>
        <w:rPr>
          <w:color w:val="000000"/>
        </w:rPr>
        <w:t>Full regime tables for Path and QE shocks, interaction-specification results.</w:t>
      </w:r>
    </w:p>
    <w:p w14:paraId="5C14D3BC" w14:textId="77777777" w:rsidR="00E722DD" w:rsidRDefault="00E722DD" w:rsidP="0030785C">
      <w:pPr>
        <w:autoSpaceDE w:val="0"/>
        <w:autoSpaceDN w:val="0"/>
        <w:adjustRightInd w:val="0"/>
        <w:spacing w:after="0" w:line="240" w:lineRule="auto"/>
        <w:rPr>
          <w:rFonts w:ascii="Times New Roman" w:hAnsi="Times New Roman" w:cs="Times New Roman"/>
          <w:b/>
          <w:bCs/>
          <w:kern w:val="0"/>
        </w:rPr>
      </w:pPr>
    </w:p>
    <w:p w14:paraId="2D732183" w14:textId="77777777" w:rsidR="00E722DD" w:rsidRDefault="00E722DD">
      <w:pPr>
        <w:rPr>
          <w:rFonts w:ascii="Times New Roman" w:hAnsi="Times New Roman" w:cs="Times New Roman"/>
          <w:b/>
          <w:bCs/>
          <w:kern w:val="0"/>
        </w:rPr>
      </w:pPr>
      <w:r>
        <w:rPr>
          <w:rFonts w:ascii="Times New Roman" w:hAnsi="Times New Roman" w:cs="Times New Roman"/>
          <w:b/>
          <w:bCs/>
          <w:kern w:val="0"/>
        </w:rPr>
        <w:br w:type="page"/>
      </w:r>
    </w:p>
    <w:p w14:paraId="67BB6D28" w14:textId="602B7709" w:rsidR="0030785C" w:rsidRPr="00E722DD" w:rsidRDefault="0030785C" w:rsidP="00E722DD">
      <w:pPr>
        <w:pStyle w:val="Heading1"/>
        <w:numPr>
          <w:ilvl w:val="0"/>
          <w:numId w:val="30"/>
        </w:numPr>
      </w:pPr>
      <w:bookmarkStart w:id="7" w:name="_Toc227839914"/>
      <w:r w:rsidRPr="0030785C">
        <w:lastRenderedPageBreak/>
        <w:t>Robustness</w:t>
      </w:r>
      <w:r w:rsidR="00E722DD">
        <w:t xml:space="preserve"> – 2</w:t>
      </w:r>
      <w:r w:rsidRPr="0030785C">
        <w:t xml:space="preserve"> pages</w:t>
      </w:r>
      <w:bookmarkEnd w:id="7"/>
    </w:p>
    <w:p w14:paraId="12F2C02F" w14:textId="77777777" w:rsidR="00E722DD" w:rsidRDefault="00E722DD" w:rsidP="00E722DD">
      <w:pPr>
        <w:pStyle w:val="font-claude-response-body"/>
        <w:rPr>
          <w:color w:val="000000"/>
        </w:rPr>
      </w:pPr>
      <w:r>
        <w:rPr>
          <w:color w:val="000000"/>
        </w:rPr>
        <w:t>Keep this tight. It is verification, not a second results section.</w:t>
      </w:r>
    </w:p>
    <w:p w14:paraId="05C377A9" w14:textId="77777777" w:rsidR="00E722DD" w:rsidRDefault="00E722DD" w:rsidP="00E722DD">
      <w:pPr>
        <w:pStyle w:val="font-claude-response-body"/>
        <w:rPr>
          <w:color w:val="000000"/>
        </w:rPr>
      </w:pPr>
      <w:r>
        <w:rPr>
          <w:rStyle w:val="Strong"/>
          <w:color w:val="000000"/>
        </w:rPr>
        <w:t>8.1 Lag structure (~0.5 pp).</w:t>
      </w:r>
      <w:r>
        <w:rPr>
          <w:rStyle w:val="apple-converted-space"/>
          <w:color w:val="000000"/>
        </w:rPr>
        <w:t> </w:t>
      </w:r>
      <w:r>
        <w:rPr>
          <w:color w:val="000000"/>
        </w:rPr>
        <w:t>Lag10 vs baseline 5 — Target asymmetry persists.</w:t>
      </w:r>
    </w:p>
    <w:p w14:paraId="36D244CB" w14:textId="77777777" w:rsidR="00E722DD" w:rsidRDefault="00E722DD" w:rsidP="00E722DD">
      <w:pPr>
        <w:pStyle w:val="font-claude-response-body"/>
        <w:rPr>
          <w:color w:val="000000"/>
        </w:rPr>
      </w:pPr>
      <w:r>
        <w:rPr>
          <w:rStyle w:val="Strong"/>
          <w:color w:val="000000"/>
        </w:rPr>
        <w:t>8.2 External controls (~0.75 pp).</w:t>
      </w:r>
      <w:r>
        <w:rPr>
          <w:rStyle w:val="apple-converted-space"/>
          <w:color w:val="000000"/>
        </w:rPr>
        <w:t> </w:t>
      </w:r>
      <w:r>
        <w:rPr>
          <w:color w:val="000000"/>
        </w:rPr>
        <w:t>FTSE 100, All-Share, and dual controls. State honestly: "Adding broader-market controls attenuates immediate Target-shock responses but asymmetry remains visible at selected horizons, notably h=10." Do not hide the attenuation.</w:t>
      </w:r>
    </w:p>
    <w:p w14:paraId="3BA5F4A4" w14:textId="77777777" w:rsidR="00E722DD" w:rsidRDefault="00E722DD" w:rsidP="00E722DD">
      <w:pPr>
        <w:pStyle w:val="font-claude-response-body"/>
        <w:rPr>
          <w:color w:val="000000"/>
        </w:rPr>
      </w:pPr>
      <w:r>
        <w:rPr>
          <w:rStyle w:val="Strong"/>
          <w:color w:val="000000"/>
        </w:rPr>
        <w:t>8.3 Alternative index choice (~0.5 pp).</w:t>
      </w:r>
      <w:r>
        <w:rPr>
          <w:rStyle w:val="apple-converted-space"/>
          <w:color w:val="000000"/>
        </w:rPr>
        <w:t> </w:t>
      </w:r>
      <w:r>
        <w:rPr>
          <w:color w:val="000000"/>
        </w:rPr>
        <w:t>Briefly: re-running on FTSE 100 and All-Share. Target asymmetry is more pronounced on FTSE 250 than on the larger-cap FTSE 100, consistent with greater domestic exposure.</w:t>
      </w:r>
    </w:p>
    <w:p w14:paraId="68A709B3" w14:textId="77777777" w:rsidR="00E722DD" w:rsidRDefault="00E722DD" w:rsidP="00E722DD">
      <w:pPr>
        <w:pStyle w:val="font-claude-response-body"/>
        <w:rPr>
          <w:color w:val="000000"/>
        </w:rPr>
      </w:pPr>
      <w:r>
        <w:rPr>
          <w:rStyle w:val="Strong"/>
          <w:color w:val="000000"/>
        </w:rPr>
        <w:t>8.4 Summary (~0.25 pp).</w:t>
      </w:r>
      <w:r>
        <w:rPr>
          <w:rStyle w:val="apple-converted-space"/>
          <w:color w:val="000000"/>
        </w:rPr>
        <w:t> </w:t>
      </w:r>
      <w:r>
        <w:rPr>
          <w:color w:val="000000"/>
        </w:rPr>
        <w:t>Target result is the only one that survives consistently. Path and QE do not pass robustness cleanly — state this explicitly.</w:t>
      </w:r>
    </w:p>
    <w:p w14:paraId="6B2BF4DC" w14:textId="77777777" w:rsidR="00E722DD" w:rsidRDefault="00E722DD" w:rsidP="00E722DD">
      <w:pPr>
        <w:pStyle w:val="font-claude-response-body"/>
        <w:rPr>
          <w:color w:val="000000"/>
        </w:rPr>
      </w:pPr>
      <w:r>
        <w:rPr>
          <w:color w:val="000000"/>
        </w:rPr>
        <w:t>Main-text</w:t>
      </w:r>
      <w:r>
        <w:rPr>
          <w:rStyle w:val="apple-converted-space"/>
          <w:color w:val="000000"/>
        </w:rPr>
        <w:t> </w:t>
      </w:r>
      <w:r>
        <w:rPr>
          <w:rStyle w:val="Strong"/>
          <w:color w:val="000000"/>
        </w:rPr>
        <w:t>Table 4:</w:t>
      </w:r>
      <w:r>
        <w:rPr>
          <w:rStyle w:val="apple-converted-space"/>
          <w:color w:val="000000"/>
        </w:rPr>
        <w:t> </w:t>
      </w:r>
      <w:r>
        <w:rPr>
          <w:color w:val="000000"/>
        </w:rPr>
        <w:t>Compact robustness grid — Target-shock asymmetry p-values at h = 0, 5, 10, 20 across specifications (Baseline, Lag10, +FTSE100, +</w:t>
      </w:r>
      <w:proofErr w:type="spellStart"/>
      <w:r>
        <w:rPr>
          <w:color w:val="000000"/>
        </w:rPr>
        <w:t>AllShare</w:t>
      </w:r>
      <w:proofErr w:type="spellEnd"/>
      <w:r>
        <w:rPr>
          <w:color w:val="000000"/>
        </w:rPr>
        <w:t>, Dual). One table; no figure needed.</w:t>
      </w:r>
    </w:p>
    <w:p w14:paraId="4FCD8C5F" w14:textId="64EC1B83" w:rsidR="0031244C" w:rsidRPr="00FB4270" w:rsidRDefault="00E722DD" w:rsidP="00FB4270">
      <w:pPr>
        <w:pStyle w:val="font-claude-response-body"/>
        <w:rPr>
          <w:color w:val="000000"/>
        </w:rPr>
      </w:pPr>
      <w:r>
        <w:rPr>
          <w:rStyle w:val="Strong"/>
          <w:color w:val="000000"/>
        </w:rPr>
        <w:t>Appendix:</w:t>
      </w:r>
      <w:r>
        <w:rPr>
          <w:rStyle w:val="apple-converted-space"/>
          <w:color w:val="000000"/>
        </w:rPr>
        <w:t> </w:t>
      </w:r>
      <w:r>
        <w:rPr>
          <w:color w:val="000000"/>
        </w:rPr>
        <w:t>Full IRF plots for each robustness specification; robustness tables for Path and QE.</w:t>
      </w:r>
    </w:p>
    <w:p w14:paraId="4C92E2F0" w14:textId="77777777" w:rsidR="0031244C" w:rsidRDefault="0031244C" w:rsidP="0031244C">
      <w:pPr>
        <w:autoSpaceDE w:val="0"/>
        <w:autoSpaceDN w:val="0"/>
        <w:adjustRightInd w:val="0"/>
        <w:spacing w:after="0" w:line="360" w:lineRule="auto"/>
        <w:rPr>
          <w:rFonts w:ascii="Times New Roman" w:hAnsi="Times New Roman" w:cs="Times New Roman"/>
          <w:color w:val="000000"/>
          <w:sz w:val="22"/>
          <w:szCs w:val="22"/>
        </w:rPr>
      </w:pPr>
    </w:p>
    <w:p w14:paraId="1F414D65" w14:textId="7E63DE1A" w:rsidR="0031244C" w:rsidRPr="0021032C" w:rsidRDefault="0031244C" w:rsidP="0031244C">
      <w:pPr>
        <w:autoSpaceDE w:val="0"/>
        <w:autoSpaceDN w:val="0"/>
        <w:adjustRightInd w:val="0"/>
        <w:spacing w:after="0" w:line="360" w:lineRule="auto"/>
        <w:rPr>
          <w:rFonts w:ascii="Times New Roman" w:hAnsi="Times New Roman" w:cs="Times New Roman"/>
          <w:kern w:val="0"/>
          <w:sz w:val="22"/>
          <w:szCs w:val="22"/>
        </w:rPr>
      </w:pPr>
    </w:p>
    <w:p w14:paraId="090AD9BD" w14:textId="662C628C" w:rsidR="0030785C" w:rsidRDefault="0030785C">
      <w:pPr>
        <w:rPr>
          <w:rFonts w:ascii="Times New Roman" w:hAnsi="Times New Roman" w:cs="Times New Roman"/>
          <w:kern w:val="0"/>
          <w:sz w:val="22"/>
          <w:szCs w:val="22"/>
          <w:u w:val="single"/>
        </w:rPr>
      </w:pPr>
      <w:r>
        <w:rPr>
          <w:rFonts w:ascii="Times New Roman" w:hAnsi="Times New Roman" w:cs="Times New Roman"/>
          <w:kern w:val="0"/>
          <w:sz w:val="22"/>
          <w:szCs w:val="22"/>
          <w:u w:val="single"/>
        </w:rPr>
        <w:br w:type="page"/>
      </w:r>
    </w:p>
    <w:p w14:paraId="2FF87516" w14:textId="658D00E2" w:rsidR="00DB7509" w:rsidRPr="00DB7509" w:rsidRDefault="00DB7509" w:rsidP="00DB7509">
      <w:pPr>
        <w:pStyle w:val="Heading1"/>
        <w:numPr>
          <w:ilvl w:val="0"/>
          <w:numId w:val="30"/>
        </w:numPr>
      </w:pPr>
      <w:bookmarkStart w:id="8" w:name="_Toc227839915"/>
      <w:r>
        <w:lastRenderedPageBreak/>
        <w:t xml:space="preserve">Discussion and </w:t>
      </w:r>
      <w:r w:rsidR="0030785C" w:rsidRPr="00A96C4F">
        <w:t>Conclusion – 2</w:t>
      </w:r>
      <w:r w:rsidR="000448AB">
        <w:t>.5</w:t>
      </w:r>
      <w:r w:rsidR="0030785C" w:rsidRPr="00A96C4F">
        <w:t xml:space="preserve"> pages</w:t>
      </w:r>
      <w:bookmarkEnd w:id="8"/>
    </w:p>
    <w:p w14:paraId="66476CE8" w14:textId="77777777" w:rsidR="00E722DD" w:rsidRDefault="00E722DD" w:rsidP="00E722DD">
      <w:pPr>
        <w:pStyle w:val="font-claude-response-body"/>
        <w:rPr>
          <w:color w:val="000000"/>
        </w:rPr>
      </w:pPr>
      <w:r>
        <w:rPr>
          <w:rStyle w:val="Strong"/>
          <w:color w:val="000000"/>
        </w:rPr>
        <w:t>9.1 Main findings (~0.5 pp).</w:t>
      </w:r>
      <w:r>
        <w:rPr>
          <w:rStyle w:val="apple-converted-space"/>
          <w:color w:val="000000"/>
        </w:rPr>
        <w:t> </w:t>
      </w:r>
      <w:r>
        <w:rPr>
          <w:color w:val="000000"/>
        </w:rPr>
        <w:t>Three sentences restating: Target asymmetry; easing-hurts pattern; Path/QE weak.</w:t>
      </w:r>
    </w:p>
    <w:p w14:paraId="2E778E31" w14:textId="77777777" w:rsidR="00E722DD" w:rsidRPr="00A96C4F" w:rsidRDefault="00E722DD" w:rsidP="00E722DD">
      <w:pPr>
        <w:pStyle w:val="font-claude-response-body"/>
        <w:spacing w:line="360" w:lineRule="auto"/>
        <w:rPr>
          <w:color w:val="000000"/>
          <w:sz w:val="22"/>
          <w:szCs w:val="22"/>
        </w:rPr>
      </w:pPr>
      <w:r w:rsidRPr="00A96C4F">
        <w:rPr>
          <w:color w:val="000000"/>
          <w:sz w:val="22"/>
          <w:szCs w:val="22"/>
        </w:rPr>
        <w:t>Organise the opening of the conclusion around the three axes rather than around the three shock types. This is the payoff — you return to the framing you promised in the introduction and answer it.</w:t>
      </w:r>
    </w:p>
    <w:p w14:paraId="3B96A7A5" w14:textId="77777777" w:rsidR="00E722DD" w:rsidRPr="00A96C4F" w:rsidRDefault="00E722DD" w:rsidP="00E722DD">
      <w:pPr>
        <w:pStyle w:val="font-claude-response-body"/>
        <w:spacing w:line="360" w:lineRule="auto"/>
        <w:rPr>
          <w:color w:val="000000"/>
          <w:sz w:val="22"/>
          <w:szCs w:val="22"/>
        </w:rPr>
      </w:pPr>
      <w:r w:rsidRPr="00A96C4F">
        <w:rPr>
          <w:color w:val="000000"/>
          <w:sz w:val="22"/>
          <w:szCs w:val="22"/>
        </w:rPr>
        <w:t>Something like:</w:t>
      </w:r>
      <w:r w:rsidRPr="00A96C4F">
        <w:rPr>
          <w:rStyle w:val="apple-converted-space"/>
          <w:color w:val="000000"/>
          <w:sz w:val="22"/>
          <w:szCs w:val="22"/>
        </w:rPr>
        <w:t> </w:t>
      </w:r>
      <w:r w:rsidRPr="00A96C4F">
        <w:rPr>
          <w:rStyle w:val="Emphasis"/>
          <w:color w:val="000000"/>
          <w:sz w:val="22"/>
          <w:szCs w:val="22"/>
        </w:rPr>
        <w:t xml:space="preserve">"Three findings emerge. First, on shock type: asymmetry is concentrated in Target shocks; Path and QE responses are imprecise and do not exhibit clear asymmetry. Second, on horizons: asymmetry in Target-shock responses is strongest at impact through medium horizons and weakens by h=20. Third, on regimes: the directional pattern is consistent across </w:t>
      </w:r>
      <w:proofErr w:type="gramStart"/>
      <w:r w:rsidRPr="00A96C4F">
        <w:rPr>
          <w:rStyle w:val="Emphasis"/>
          <w:color w:val="000000"/>
          <w:sz w:val="22"/>
          <w:szCs w:val="22"/>
        </w:rPr>
        <w:t>subsamples</w:t>
      </w:r>
      <w:proofErr w:type="gramEnd"/>
      <w:r w:rsidRPr="00A96C4F">
        <w:rPr>
          <w:rStyle w:val="Emphasis"/>
          <w:color w:val="000000"/>
          <w:sz w:val="22"/>
          <w:szCs w:val="22"/>
        </w:rPr>
        <w:t xml:space="preserve"> but precision deteriorates in smaller regime windows."</w:t>
      </w:r>
    </w:p>
    <w:p w14:paraId="1DAA4779" w14:textId="77777777" w:rsidR="00E722DD" w:rsidRDefault="00E722DD" w:rsidP="00E722DD">
      <w:pPr>
        <w:pStyle w:val="font-claude-response-body"/>
        <w:spacing w:line="360" w:lineRule="auto"/>
        <w:rPr>
          <w:color w:val="000000"/>
          <w:sz w:val="22"/>
          <w:szCs w:val="22"/>
        </w:rPr>
      </w:pPr>
      <w:r w:rsidRPr="00A96C4F">
        <w:rPr>
          <w:color w:val="000000"/>
          <w:sz w:val="22"/>
          <w:szCs w:val="22"/>
        </w:rPr>
        <w:t>That single paragraph closes the loop opened in the introduction.</w:t>
      </w:r>
    </w:p>
    <w:p w14:paraId="2637F872" w14:textId="77777777" w:rsidR="00E722DD" w:rsidRPr="00A96C4F" w:rsidRDefault="00E722DD" w:rsidP="00E722DD">
      <w:pPr>
        <w:spacing w:line="360" w:lineRule="auto"/>
        <w:rPr>
          <w:rFonts w:ascii="Times New Roman" w:hAnsi="Times New Roman" w:cs="Times New Roman"/>
          <w:kern w:val="0"/>
          <w:sz w:val="22"/>
          <w:szCs w:val="22"/>
        </w:rPr>
      </w:pPr>
      <w:r w:rsidRPr="00A96C4F">
        <w:rPr>
          <w:rFonts w:ascii="Times New Roman" w:hAnsi="Times New Roman" w:cs="Times New Roman"/>
          <w:color w:val="000000"/>
          <w:sz w:val="22"/>
          <w:szCs w:val="22"/>
        </w:rPr>
        <w:t>In the conclusion, return to the same three dimensions and state your answer to each, honestly. Target &gt; Path &gt; QE. Asymmetric, with easing-hurts. Horizon effects peak around h=10 and fade; regime effects are directionally consistent but noisier.</w:t>
      </w:r>
    </w:p>
    <w:p w14:paraId="6B4AF61F" w14:textId="4FA618A9" w:rsidR="00E722DD" w:rsidRPr="00E722DD" w:rsidRDefault="00E722DD" w:rsidP="00E722DD">
      <w:pPr>
        <w:pStyle w:val="font-claude-response-body"/>
        <w:spacing w:line="360" w:lineRule="auto"/>
        <w:rPr>
          <w:color w:val="000000"/>
          <w:sz w:val="22"/>
          <w:szCs w:val="22"/>
        </w:rPr>
      </w:pPr>
      <w:r w:rsidRPr="00A96C4F">
        <w:rPr>
          <w:color w:val="000000"/>
          <w:sz w:val="22"/>
          <w:szCs w:val="22"/>
        </w:rPr>
        <w:t>Framing your contribution as "three dimensions answered in one empirical framework" is much stronger than framing it as "an asymmetry test." The three-dimension framing is what makes the project feel like a dissertation rather than an empirical note.</w:t>
      </w:r>
    </w:p>
    <w:p w14:paraId="5D29EFFF" w14:textId="77777777" w:rsidR="00E722DD" w:rsidRDefault="00E722DD" w:rsidP="00E722DD">
      <w:pPr>
        <w:pStyle w:val="font-claude-response-body"/>
        <w:rPr>
          <w:color w:val="000000"/>
        </w:rPr>
      </w:pPr>
      <w:r>
        <w:rPr>
          <w:rStyle w:val="Strong"/>
          <w:color w:val="000000"/>
        </w:rPr>
        <w:t>9.2 Interpretation — information effects (~0.75 pp).</w:t>
      </w:r>
      <w:r>
        <w:rPr>
          <w:rStyle w:val="apple-converted-space"/>
          <w:color w:val="000000"/>
        </w:rPr>
        <w:t> </w:t>
      </w:r>
      <w:r>
        <w:rPr>
          <w:color w:val="000000"/>
        </w:rPr>
        <w:t xml:space="preserve">Your most interesting discussion. Link to </w:t>
      </w:r>
      <w:proofErr w:type="spellStart"/>
      <w:r>
        <w:rPr>
          <w:color w:val="000000"/>
        </w:rPr>
        <w:t>Jarociński</w:t>
      </w:r>
      <w:proofErr w:type="spellEnd"/>
      <w:r>
        <w:rPr>
          <w:color w:val="000000"/>
        </w:rPr>
        <w:t xml:space="preserve"> and Karadi (2020). The pattern — easing producing negative cumulative equity responses — is consistent with markets reading easing surprises as partial bad-news signals about the state of the UK economy. Note that you have not separately identified the information channel (would need sign-restriction or co-movement with macro expectations) — this is a</w:t>
      </w:r>
      <w:r>
        <w:rPr>
          <w:rStyle w:val="apple-converted-space"/>
          <w:color w:val="000000"/>
        </w:rPr>
        <w:t> </w:t>
      </w:r>
      <w:r>
        <w:rPr>
          <w:rStyle w:val="Emphasis"/>
          <w:color w:val="000000"/>
        </w:rPr>
        <w:t>suggestive interpretation</w:t>
      </w:r>
      <w:r>
        <w:rPr>
          <w:color w:val="000000"/>
        </w:rPr>
        <w:t>, not a causal decomposition. Be explicit.</w:t>
      </w:r>
    </w:p>
    <w:p w14:paraId="2CE9032C" w14:textId="77777777" w:rsidR="00E722DD" w:rsidRDefault="00E722DD" w:rsidP="00E722DD">
      <w:pPr>
        <w:pStyle w:val="font-claude-response-body"/>
        <w:rPr>
          <w:color w:val="000000"/>
        </w:rPr>
      </w:pPr>
      <w:r>
        <w:rPr>
          <w:rStyle w:val="Strong"/>
          <w:color w:val="000000"/>
        </w:rPr>
        <w:t>9.3 Caveats (~0.5 pp).</w:t>
      </w:r>
      <w:r>
        <w:rPr>
          <w:rStyle w:val="apple-converted-space"/>
          <w:color w:val="000000"/>
        </w:rPr>
        <w:t> </w:t>
      </w:r>
      <w:r>
        <w:rPr>
          <w:color w:val="000000"/>
        </w:rPr>
        <w:t>Daily returns vs intraday shocks; noisy longer horizons; small number of genuine QE events; regime subsamples are small. Don't pad — 4–5 honest sentences.</w:t>
      </w:r>
    </w:p>
    <w:p w14:paraId="022B7A4B" w14:textId="77777777" w:rsidR="00E722DD" w:rsidRDefault="00E722DD" w:rsidP="00E722DD">
      <w:pPr>
        <w:pStyle w:val="font-claude-response-body"/>
        <w:rPr>
          <w:color w:val="000000"/>
        </w:rPr>
      </w:pPr>
      <w:r>
        <w:rPr>
          <w:rStyle w:val="Strong"/>
          <w:color w:val="000000"/>
        </w:rPr>
        <w:t>9.4 Implications and future work (~0.5 pp).</w:t>
      </w:r>
      <w:r>
        <w:rPr>
          <w:rStyle w:val="apple-converted-space"/>
          <w:color w:val="000000"/>
        </w:rPr>
        <w:t> </w:t>
      </w:r>
      <w:r>
        <w:rPr>
          <w:color w:val="000000"/>
        </w:rPr>
        <w:t>Brief. Implications: simple "easing = stimulus" narratives may overstate the equity channel. Future work: sector-level analysis (flag as</w:t>
      </w:r>
      <w:r>
        <w:rPr>
          <w:rStyle w:val="apple-converted-space"/>
          <w:color w:val="000000"/>
        </w:rPr>
        <w:t> </w:t>
      </w:r>
      <w:r>
        <w:rPr>
          <w:rStyle w:val="Emphasis"/>
          <w:color w:val="000000"/>
        </w:rPr>
        <w:t>planned</w:t>
      </w:r>
      <w:r>
        <w:rPr>
          <w:rStyle w:val="apple-converted-space"/>
          <w:color w:val="000000"/>
        </w:rPr>
        <w:t> </w:t>
      </w:r>
      <w:r>
        <w:rPr>
          <w:color w:val="000000"/>
        </w:rPr>
        <w:t>but not done); explicit information-effect decomposition; intraday equity data.</w:t>
      </w:r>
    </w:p>
    <w:p w14:paraId="18646814" w14:textId="77777777" w:rsidR="003A5570" w:rsidRPr="008A676F" w:rsidRDefault="003A5570" w:rsidP="003A55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t>Monetary policy news days are those where the high-frequency correlation between each of the extracted factors and the FTSE 250 index is negative</w:t>
      </w:r>
    </w:p>
    <w:p w14:paraId="5EF97964" w14:textId="77777777" w:rsidR="003A5570" w:rsidRPr="00FB4270" w:rsidRDefault="003A5570" w:rsidP="00FB4270">
      <w:pPr>
        <w:pStyle w:val="p1"/>
        <w:spacing w:line="360" w:lineRule="auto"/>
        <w:rPr>
          <w:rFonts w:ascii="Times New Roman" w:hAnsi="Times New Roman"/>
          <w:color w:val="auto"/>
          <w:sz w:val="22"/>
          <w:szCs w:val="22"/>
        </w:rPr>
      </w:pPr>
      <w:r w:rsidRPr="008A676F">
        <w:rPr>
          <w:rFonts w:ascii="Times New Roman" w:hAnsi="Times New Roman"/>
          <w:color w:val="auto"/>
          <w:sz w:val="22"/>
          <w:szCs w:val="22"/>
        </w:rPr>
        <w:lastRenderedPageBreak/>
        <w:t xml:space="preserve">Positive </w:t>
      </w:r>
      <w:r w:rsidRPr="00FB4270">
        <w:rPr>
          <w:rFonts w:ascii="Times New Roman" w:hAnsi="Times New Roman"/>
          <w:color w:val="auto"/>
          <w:sz w:val="22"/>
          <w:szCs w:val="22"/>
        </w:rPr>
        <w:t>correlation =&gt; information effect</w:t>
      </w:r>
    </w:p>
    <w:p w14:paraId="01399060" w14:textId="31D79BF6" w:rsidR="003A5570" w:rsidRPr="00FB4270" w:rsidRDefault="00FB4270" w:rsidP="00FB4270">
      <w:pPr>
        <w:pStyle w:val="font-claude-response-body"/>
        <w:spacing w:line="360" w:lineRule="auto"/>
        <w:rPr>
          <w:color w:val="000000"/>
          <w:sz w:val="22"/>
          <w:szCs w:val="22"/>
        </w:rPr>
      </w:pPr>
      <w:r w:rsidRPr="00FB4270">
        <w:rPr>
          <w:color w:val="000000"/>
          <w:sz w:val="22"/>
          <w:szCs w:val="22"/>
        </w:rPr>
        <w:t>One natural extension is sector-level analysis, which would test whether the Target-shock asymmetry is concentrated in interest-sensitive sectors such as financials and real estate, or is a market-wide phenomenon."</w:t>
      </w:r>
    </w:p>
    <w:p w14:paraId="60A27097" w14:textId="77777777" w:rsidR="00FB4270" w:rsidRDefault="00FB4270" w:rsidP="00E722DD">
      <w:pPr>
        <w:pStyle w:val="font-claude-response-body"/>
        <w:rPr>
          <w:color w:val="000000"/>
        </w:rPr>
      </w:pPr>
    </w:p>
    <w:p w14:paraId="58FF316A" w14:textId="77777777" w:rsidR="00E722DD" w:rsidRDefault="00E722DD" w:rsidP="00E722DD">
      <w:pPr>
        <w:pStyle w:val="font-claude-response-body"/>
        <w:rPr>
          <w:color w:val="000000"/>
        </w:rPr>
      </w:pPr>
      <w:r>
        <w:rPr>
          <w:rStyle w:val="Strong"/>
          <w:color w:val="000000"/>
        </w:rPr>
        <w:t>9.5 Concluding sentence (~0.25 pp).</w:t>
      </w:r>
    </w:p>
    <w:p w14:paraId="511782C1" w14:textId="77777777" w:rsidR="00E722DD" w:rsidRDefault="00E722DD" w:rsidP="00E722DD">
      <w:pPr>
        <w:pStyle w:val="font-claude-response-body"/>
        <w:rPr>
          <w:color w:val="000000"/>
        </w:rPr>
      </w:pPr>
      <w:r>
        <w:rPr>
          <w:rStyle w:val="Strong"/>
          <w:color w:val="000000"/>
        </w:rPr>
        <w:t>Do not include:</w:t>
      </w:r>
      <w:r>
        <w:rPr>
          <w:rStyle w:val="apple-converted-space"/>
          <w:color w:val="000000"/>
        </w:rPr>
        <w:t> </w:t>
      </w:r>
      <w:r>
        <w:rPr>
          <w:color w:val="000000"/>
        </w:rPr>
        <w:t>a full re-statement of results. A policy-recommendations section. Speculation about future BoE decisions.</w:t>
      </w:r>
    </w:p>
    <w:p w14:paraId="411E2969" w14:textId="77777777" w:rsidR="00E722DD" w:rsidRDefault="00E722DD" w:rsidP="00A96C4F">
      <w:pPr>
        <w:spacing w:line="360" w:lineRule="auto"/>
        <w:rPr>
          <w:rFonts w:ascii="Times New Roman" w:hAnsi="Times New Roman" w:cs="Times New Roman"/>
          <w:kern w:val="0"/>
          <w:sz w:val="22"/>
          <w:szCs w:val="22"/>
        </w:rPr>
      </w:pPr>
    </w:p>
    <w:p w14:paraId="6B8C2EBF" w14:textId="76DB5643" w:rsidR="007E742D" w:rsidRPr="00A96C4F" w:rsidRDefault="007E742D" w:rsidP="00A96C4F">
      <w:pPr>
        <w:spacing w:line="360" w:lineRule="auto"/>
        <w:rPr>
          <w:rFonts w:ascii="Times New Roman" w:hAnsi="Times New Roman" w:cs="Times New Roman"/>
          <w:kern w:val="0"/>
          <w:sz w:val="22"/>
          <w:szCs w:val="22"/>
        </w:rPr>
      </w:pPr>
      <w:r w:rsidRPr="00A96C4F">
        <w:rPr>
          <w:rFonts w:ascii="Times New Roman" w:hAnsi="Times New Roman" w:cs="Times New Roman"/>
          <w:kern w:val="0"/>
          <w:sz w:val="22"/>
          <w:szCs w:val="22"/>
        </w:rPr>
        <w:br w:type="page"/>
      </w:r>
    </w:p>
    <w:p w14:paraId="26931CCB" w14:textId="36D8E03E" w:rsidR="0030785C" w:rsidRPr="0030785C" w:rsidRDefault="0030785C" w:rsidP="00205987">
      <w:pPr>
        <w:pStyle w:val="Heading1"/>
      </w:pPr>
      <w:bookmarkStart w:id="9" w:name="_Toc227839916"/>
      <w:r w:rsidRPr="0030785C">
        <w:lastRenderedPageBreak/>
        <w:t>References</w:t>
      </w:r>
      <w:bookmarkEnd w:id="9"/>
    </w:p>
    <w:p w14:paraId="2CE4F495" w14:textId="77777777" w:rsidR="0030785C" w:rsidRDefault="0030785C" w:rsidP="00702C6B">
      <w:pPr>
        <w:autoSpaceDE w:val="0"/>
        <w:autoSpaceDN w:val="0"/>
        <w:adjustRightInd w:val="0"/>
        <w:spacing w:after="0" w:line="360" w:lineRule="auto"/>
        <w:rPr>
          <w:rFonts w:ascii="Times New Roman" w:hAnsi="Times New Roman" w:cs="Times New Roman"/>
          <w:kern w:val="0"/>
          <w:sz w:val="22"/>
          <w:szCs w:val="22"/>
          <w:u w:val="single"/>
        </w:rPr>
      </w:pPr>
    </w:p>
    <w:p w14:paraId="21841FBE" w14:textId="74C461B3" w:rsidR="00D04AAD" w:rsidRPr="00702C6B" w:rsidRDefault="00D04AAD" w:rsidP="00702C6B">
      <w:pPr>
        <w:autoSpaceDE w:val="0"/>
        <w:autoSpaceDN w:val="0"/>
        <w:adjustRightInd w:val="0"/>
        <w:spacing w:after="0" w:line="360" w:lineRule="auto"/>
        <w:rPr>
          <w:rFonts w:ascii="Times New Roman" w:hAnsi="Times New Roman" w:cs="Times New Roman"/>
          <w:kern w:val="0"/>
          <w:sz w:val="22"/>
          <w:szCs w:val="22"/>
          <w:u w:val="single"/>
        </w:rPr>
      </w:pPr>
      <w:r w:rsidRPr="0021032C">
        <w:rPr>
          <w:rFonts w:ascii="Times New Roman" w:hAnsi="Times New Roman" w:cs="Times New Roman"/>
          <w:kern w:val="0"/>
          <w:sz w:val="22"/>
          <w:szCs w:val="22"/>
          <w:u w:val="single"/>
        </w:rPr>
        <w:t>Citing UKMPD</w:t>
      </w:r>
      <w:r w:rsidR="00702C6B">
        <w:rPr>
          <w:rFonts w:ascii="Times New Roman" w:hAnsi="Times New Roman" w:cs="Times New Roman"/>
          <w:kern w:val="0"/>
          <w:sz w:val="22"/>
          <w:szCs w:val="22"/>
          <w:u w:val="single"/>
        </w:rPr>
        <w:t>:</w:t>
      </w:r>
      <w:r w:rsidR="00702C6B">
        <w:rPr>
          <w:rFonts w:ascii="Times New Roman" w:eastAsia="Times New Roman" w:hAnsi="Times New Roman" w:cs="Times New Roman"/>
          <w:color w:val="000000"/>
          <w:kern w:val="0"/>
          <w:sz w:val="22"/>
          <w:szCs w:val="22"/>
          <w:lang w:eastAsia="en-GB"/>
          <w14:ligatures w14:val="none"/>
        </w:rPr>
        <w:t xml:space="preserve"> B</w:t>
      </w:r>
      <w:r w:rsidRPr="0021032C">
        <w:rPr>
          <w:rFonts w:ascii="Times New Roman" w:eastAsia="Times New Roman" w:hAnsi="Times New Roman" w:cs="Times New Roman"/>
          <w:color w:val="000000"/>
          <w:kern w:val="0"/>
          <w:sz w:val="22"/>
          <w:szCs w:val="22"/>
          <w:lang w:eastAsia="en-GB"/>
          <w14:ligatures w14:val="none"/>
        </w:rPr>
        <w:t>raun, Miranda-Agrippino and Saha, "Measuring Monetary Policy in the UK: the UK Monetary Policy Event-Study Database", Journal of Monetary Economics (2024)</w:t>
      </w:r>
    </w:p>
    <w:p w14:paraId="146445D9" w14:textId="77777777" w:rsidR="00D04AAD" w:rsidRPr="0021032C" w:rsidRDefault="00D04AAD" w:rsidP="0021032C">
      <w:pPr>
        <w:spacing w:after="0" w:line="360" w:lineRule="auto"/>
        <w:rPr>
          <w:rFonts w:ascii="Times New Roman" w:eastAsia="Times New Roman" w:hAnsi="Times New Roman" w:cs="Times New Roman"/>
          <w:color w:val="000000"/>
          <w:kern w:val="0"/>
          <w:sz w:val="22"/>
          <w:szCs w:val="22"/>
          <w:u w:val="single"/>
          <w:lang w:eastAsia="en-GB"/>
          <w14:ligatures w14:val="none"/>
        </w:rPr>
      </w:pPr>
    </w:p>
    <w:p w14:paraId="6FFDAC91" w14:textId="0B43D1DB" w:rsidR="007576AA" w:rsidRPr="0021032C" w:rsidRDefault="007576AA" w:rsidP="0021032C">
      <w:pPr>
        <w:pStyle w:val="p1"/>
        <w:spacing w:line="360" w:lineRule="auto"/>
        <w:rPr>
          <w:rFonts w:ascii="Times New Roman" w:hAnsi="Times New Roman"/>
          <w:sz w:val="22"/>
          <w:szCs w:val="22"/>
        </w:rPr>
      </w:pPr>
      <w:r w:rsidRPr="0021032C">
        <w:rPr>
          <w:rFonts w:ascii="Times New Roman" w:hAnsi="Times New Roman"/>
          <w:sz w:val="22"/>
          <w:szCs w:val="22"/>
        </w:rPr>
        <w:t>Jarocinski, Marek and Peter Karadi (2020) “Deconstructing Monetary Policy Surprises—The Role of Information Shocks,” American Economic Journal: Macroeconomics, Vol. 12, No. 2, pp. 1–43, April.</w:t>
      </w:r>
    </w:p>
    <w:p w14:paraId="00FAA2EA" w14:textId="77777777" w:rsidR="007576AA" w:rsidRPr="0021032C" w:rsidRDefault="007576AA" w:rsidP="0021032C">
      <w:pPr>
        <w:spacing w:after="0" w:line="360" w:lineRule="auto"/>
        <w:rPr>
          <w:rFonts w:ascii="Times New Roman" w:eastAsia="Times New Roman" w:hAnsi="Times New Roman" w:cs="Times New Roman"/>
          <w:color w:val="000000"/>
          <w:kern w:val="0"/>
          <w:sz w:val="22"/>
          <w:szCs w:val="22"/>
          <w:u w:val="single"/>
          <w:lang w:eastAsia="en-GB"/>
          <w14:ligatures w14:val="none"/>
        </w:rPr>
      </w:pPr>
    </w:p>
    <w:p w14:paraId="65D83F91"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effect of the Bank of England’s communication using the variance of asset prices around announcements</w:t>
      </w:r>
    </w:p>
    <w:p w14:paraId="340B7E2F"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Reeves, Rachel and Michael Sawicki (2005) “Do Financial Markets React to Bank of England Communication?,” Discussion Papers 15, Bank of England, External MPC Unit.</w:t>
      </w:r>
    </w:p>
    <w:p w14:paraId="37F4A91E" w14:textId="77777777" w:rsidR="00D04AAD" w:rsidRPr="0021032C" w:rsidRDefault="00D04AAD" w:rsidP="0021032C">
      <w:pPr>
        <w:pStyle w:val="p1"/>
        <w:spacing w:line="360" w:lineRule="auto"/>
        <w:rPr>
          <w:rFonts w:ascii="Times New Roman" w:hAnsi="Times New Roman"/>
          <w:sz w:val="22"/>
          <w:szCs w:val="22"/>
        </w:rPr>
      </w:pPr>
    </w:p>
    <w:p w14:paraId="4008A7C9"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detailed analysis of the information content of MPC speeches, and have shown that financial markets respond strongly to this type of communication</w:t>
      </w:r>
    </w:p>
    <w:p w14:paraId="2719933A"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 xml:space="preserve">Mumtaz, Haroon, Jumana </w:t>
      </w:r>
      <w:proofErr w:type="spellStart"/>
      <w:r w:rsidRPr="0021032C">
        <w:rPr>
          <w:rFonts w:ascii="Times New Roman" w:hAnsi="Times New Roman"/>
          <w:sz w:val="22"/>
          <w:szCs w:val="22"/>
        </w:rPr>
        <w:t>Saleheen</w:t>
      </w:r>
      <w:proofErr w:type="spellEnd"/>
      <w:r w:rsidRPr="0021032C">
        <w:rPr>
          <w:rFonts w:ascii="Times New Roman" w:hAnsi="Times New Roman"/>
          <w:sz w:val="22"/>
          <w:szCs w:val="22"/>
        </w:rPr>
        <w:t>, and Roxane Spitznagel (2023) “Keep it Simple: Central Bank Communication and Asset Prices,” Working Papers 960, Queen Mary University of London, School of Economics and Finance.</w:t>
      </w:r>
    </w:p>
    <w:p w14:paraId="1B31DD4E" w14:textId="77777777" w:rsidR="00D04AAD" w:rsidRPr="0021032C" w:rsidRDefault="00D04AAD" w:rsidP="0021032C">
      <w:pPr>
        <w:pStyle w:val="p1"/>
        <w:spacing w:line="360" w:lineRule="auto"/>
        <w:rPr>
          <w:rFonts w:ascii="Times New Roman" w:hAnsi="Times New Roman"/>
          <w:sz w:val="22"/>
          <w:szCs w:val="22"/>
        </w:rPr>
      </w:pPr>
    </w:p>
    <w:p w14:paraId="6303CCE1"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apply a term structure model to monetary policy surprises in gilt yields to study the monetary policy transmission in the UK during QE.</w:t>
      </w:r>
    </w:p>
    <w:p w14:paraId="23D7C1E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Kaminska, Iryna and Haroon Mumtaz (2022) “Monetary policy transmission during QE times: role of expectations and term premia channel,” Bank of England working papers 978, Bank of England.</w:t>
      </w:r>
    </w:p>
    <w:p w14:paraId="2735D564" w14:textId="77777777" w:rsidR="00D04AAD" w:rsidRPr="0021032C" w:rsidRDefault="00D04AAD" w:rsidP="0021032C">
      <w:pPr>
        <w:pStyle w:val="p1"/>
        <w:spacing w:line="360" w:lineRule="auto"/>
        <w:rPr>
          <w:rFonts w:ascii="Times New Roman" w:hAnsi="Times New Roman"/>
          <w:sz w:val="22"/>
          <w:szCs w:val="22"/>
        </w:rPr>
      </w:pPr>
    </w:p>
    <w:p w14:paraId="57483272"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estimate the causal effects of monetary policy, building on the seminal work of</w:t>
      </w:r>
    </w:p>
    <w:p w14:paraId="4CCA24B5" w14:textId="4C693859" w:rsidR="00D04AAD"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Kuttner, Kenneth N (2001) “Monetary policy surprises and interest rates: Evidence from the Fed funds futures market,” Journal of Monetary Economics, Vol. 47, No. 3, pp. 523–544.</w:t>
      </w:r>
    </w:p>
    <w:p w14:paraId="4E40F3E9" w14:textId="77777777" w:rsidR="00C5446D" w:rsidRPr="00972F1A" w:rsidRDefault="00C5446D" w:rsidP="0021032C">
      <w:pPr>
        <w:pStyle w:val="p1"/>
        <w:spacing w:line="360" w:lineRule="auto"/>
        <w:rPr>
          <w:rFonts w:ascii="Times New Roman" w:hAnsi="Times New Roman"/>
          <w:sz w:val="22"/>
          <w:szCs w:val="22"/>
        </w:rPr>
      </w:pPr>
    </w:p>
    <w:p w14:paraId="2C8473D8" w14:textId="60D6E86A" w:rsidR="00972F1A" w:rsidRPr="00972F1A" w:rsidRDefault="00972F1A" w:rsidP="00972F1A">
      <w:pPr>
        <w:pStyle w:val="p1"/>
        <w:rPr>
          <w:rFonts w:ascii="Times New Roman" w:hAnsi="Times New Roman"/>
          <w:sz w:val="22"/>
          <w:szCs w:val="22"/>
        </w:rPr>
      </w:pPr>
      <w:r w:rsidRPr="00972F1A">
        <w:rPr>
          <w:rFonts w:ascii="Times New Roman" w:hAnsi="Times New Roman"/>
          <w:sz w:val="22"/>
          <w:szCs w:val="22"/>
        </w:rPr>
        <w:t>Joyce, Michael, Jonathan Relleen, and Steffen Sorensen (2008) “Measuring monetary policy expectations from financial market instruments,” Bank of England working papers 356, Bank of England.</w:t>
      </w:r>
    </w:p>
    <w:p w14:paraId="45955319" w14:textId="77777777" w:rsidR="00C5446D" w:rsidRPr="0021032C" w:rsidRDefault="00C5446D" w:rsidP="0021032C">
      <w:pPr>
        <w:pStyle w:val="p1"/>
        <w:spacing w:line="360" w:lineRule="auto"/>
        <w:rPr>
          <w:rFonts w:ascii="Times New Roman" w:hAnsi="Times New Roman"/>
          <w:sz w:val="22"/>
          <w:szCs w:val="22"/>
        </w:rPr>
      </w:pPr>
    </w:p>
    <w:p w14:paraId="01EF11B8" w14:textId="77777777" w:rsidR="00D04AAD" w:rsidRPr="0021032C" w:rsidRDefault="00D04AAD" w:rsidP="0021032C">
      <w:pPr>
        <w:pStyle w:val="p1"/>
        <w:spacing w:line="360" w:lineRule="auto"/>
        <w:rPr>
          <w:rFonts w:ascii="Times New Roman" w:hAnsi="Times New Roman"/>
          <w:sz w:val="22"/>
          <w:szCs w:val="22"/>
        </w:rPr>
      </w:pPr>
    </w:p>
    <w:p w14:paraId="4B876AC7"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Cloyne, James and Patrick Hürtgen (2016) “The Macroeconomic Effects of Monetary Policy: A New Measure for the United Kingdom,” American Economic Journal: Macroeconomics, Vol. 8, No. 4, pp. 75–102, October</w:t>
      </w:r>
    </w:p>
    <w:p w14:paraId="25183135" w14:textId="77777777" w:rsidR="00D04AAD" w:rsidRPr="0021032C" w:rsidRDefault="00D04AAD" w:rsidP="0021032C">
      <w:pPr>
        <w:pStyle w:val="p1"/>
        <w:spacing w:line="360" w:lineRule="auto"/>
        <w:rPr>
          <w:rFonts w:ascii="Times New Roman" w:hAnsi="Times New Roman"/>
          <w:sz w:val="22"/>
          <w:szCs w:val="22"/>
        </w:rPr>
      </w:pPr>
    </w:p>
    <w:p w14:paraId="2C2491BA"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Gürkaynak, Refet S, Brian Sack, and Eric Swanson (2005) “Do Actions Speak Louder Than Words? The Response of Asset Prices to Monetary Policy Actions and Statements,” International Journal of Central Banking, Vol. 1, No. 1, May.</w:t>
      </w:r>
    </w:p>
    <w:p w14:paraId="11F74D63" w14:textId="77777777" w:rsidR="00D04AAD" w:rsidRPr="0021032C" w:rsidRDefault="00D04AAD" w:rsidP="0021032C">
      <w:pPr>
        <w:pStyle w:val="p1"/>
        <w:spacing w:line="360" w:lineRule="auto"/>
        <w:rPr>
          <w:rFonts w:ascii="Times New Roman" w:hAnsi="Times New Roman"/>
          <w:sz w:val="22"/>
          <w:szCs w:val="22"/>
        </w:rPr>
      </w:pPr>
    </w:p>
    <w:p w14:paraId="5760870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Altavilla, Carlo, Luca Brugnolini, Refet S Gürkaynak, Roberto Motto, and Giuseppe Ragusa (2019) “Measuring euro area monetary policy,” Journal of Monetary Economics, Vol. 108, pp. 162–179.</w:t>
      </w:r>
    </w:p>
    <w:p w14:paraId="2D2852D6" w14:textId="77777777" w:rsidR="00D04AAD" w:rsidRPr="0021032C" w:rsidRDefault="00D04AAD" w:rsidP="0021032C">
      <w:pPr>
        <w:pStyle w:val="p1"/>
        <w:spacing w:line="360" w:lineRule="auto"/>
        <w:rPr>
          <w:rFonts w:ascii="Times New Roman" w:hAnsi="Times New Roman"/>
          <w:sz w:val="22"/>
          <w:szCs w:val="22"/>
        </w:rPr>
      </w:pPr>
    </w:p>
    <w:p w14:paraId="7EFE9FEC"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Swanson, Eric T (2021) “Measuring the effects of federal reserve forward guidance and asset purchases on financial markets,” Journal of Monetary Economics, Vol. 118, pp. 32–53.</w:t>
      </w:r>
    </w:p>
    <w:p w14:paraId="39735595" w14:textId="77777777" w:rsidR="000E2397" w:rsidRPr="0021032C" w:rsidRDefault="000E2397" w:rsidP="0021032C">
      <w:pPr>
        <w:pStyle w:val="p1"/>
        <w:spacing w:line="360" w:lineRule="auto"/>
        <w:rPr>
          <w:rFonts w:ascii="Times New Roman" w:hAnsi="Times New Roman"/>
          <w:sz w:val="22"/>
          <w:szCs w:val="22"/>
        </w:rPr>
      </w:pPr>
    </w:p>
    <w:p w14:paraId="7D8D9588" w14:textId="77777777" w:rsidR="00D04AAD" w:rsidRPr="0021032C" w:rsidRDefault="00D04AAD" w:rsidP="0021032C">
      <w:pPr>
        <w:pStyle w:val="p1"/>
        <w:spacing w:line="360" w:lineRule="auto"/>
        <w:rPr>
          <w:rFonts w:ascii="Times New Roman" w:hAnsi="Times New Roman"/>
          <w:sz w:val="22"/>
          <w:szCs w:val="22"/>
        </w:rPr>
      </w:pPr>
    </w:p>
    <w:p w14:paraId="167CCA4A" w14:textId="77777777" w:rsidR="00C5446D" w:rsidRDefault="00C5446D" w:rsidP="0021032C">
      <w:pPr>
        <w:pStyle w:val="p1"/>
        <w:spacing w:line="360" w:lineRule="auto"/>
        <w:rPr>
          <w:rFonts w:ascii="Times New Roman" w:hAnsi="Times New Roman"/>
          <w:sz w:val="22"/>
          <w:szCs w:val="22"/>
        </w:rPr>
      </w:pPr>
    </w:p>
    <w:p w14:paraId="04A44431" w14:textId="01F7B238"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Miranda-Agrippino, Silvia (2016) “Unsurprising shocks: information, premia, and the monetary transmission,” Bank of England working papers 626, Bank of England.</w:t>
      </w:r>
    </w:p>
    <w:p w14:paraId="2CD8BE87" w14:textId="77777777" w:rsidR="00D04AAD" w:rsidRPr="0021032C" w:rsidRDefault="00D04AAD" w:rsidP="0021032C">
      <w:pPr>
        <w:pStyle w:val="p1"/>
        <w:spacing w:line="360" w:lineRule="auto"/>
        <w:rPr>
          <w:rFonts w:ascii="Times New Roman" w:hAnsi="Times New Roman"/>
          <w:sz w:val="22"/>
          <w:szCs w:val="22"/>
        </w:rPr>
      </w:pPr>
    </w:p>
    <w:p w14:paraId="121219C3"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Gerko, Elena and Hélène Rey (2017) “Monetary Policy in the Capitals of Capital,” Journal of the European Economic Association, Vol. 15, No. 4, pp. 721–745, 08.</w:t>
      </w:r>
    </w:p>
    <w:p w14:paraId="5B7303B6" w14:textId="77777777" w:rsidR="00D04AAD" w:rsidRPr="0021032C" w:rsidRDefault="00D04AAD" w:rsidP="0021032C">
      <w:pPr>
        <w:pStyle w:val="p1"/>
        <w:spacing w:line="360" w:lineRule="auto"/>
        <w:rPr>
          <w:rFonts w:ascii="Times New Roman" w:hAnsi="Times New Roman"/>
          <w:sz w:val="22"/>
          <w:szCs w:val="22"/>
        </w:rPr>
      </w:pPr>
    </w:p>
    <w:p w14:paraId="66624DF5" w14:textId="77777777" w:rsidR="00D04AAD" w:rsidRPr="0021032C" w:rsidRDefault="00D04AAD" w:rsidP="0021032C">
      <w:pPr>
        <w:pStyle w:val="p1"/>
        <w:spacing w:line="360" w:lineRule="auto"/>
        <w:rPr>
          <w:rFonts w:ascii="Times New Roman" w:hAnsi="Times New Roman"/>
          <w:sz w:val="22"/>
          <w:szCs w:val="22"/>
        </w:rPr>
      </w:pPr>
      <w:proofErr w:type="spellStart"/>
      <w:r w:rsidRPr="0021032C">
        <w:rPr>
          <w:rFonts w:ascii="Times New Roman" w:hAnsi="Times New Roman"/>
          <w:sz w:val="22"/>
          <w:szCs w:val="22"/>
        </w:rPr>
        <w:t>Cesa</w:t>
      </w:r>
      <w:proofErr w:type="spellEnd"/>
      <w:r w:rsidRPr="0021032C">
        <w:rPr>
          <w:rFonts w:ascii="Times New Roman" w:hAnsi="Times New Roman"/>
          <w:sz w:val="22"/>
          <w:szCs w:val="22"/>
        </w:rPr>
        <w:t>-Bianchi, Ambrogio, Gregory Thwaites, and Alejandro Vicondoa (2020) “Monetary policy transmission in the United Kingdom: A high frequency identification approach,” European Economic Review, Vol. 123, No. C.</w:t>
      </w:r>
    </w:p>
    <w:p w14:paraId="5B3CE5AA" w14:textId="77777777" w:rsidR="00D04AAD" w:rsidRPr="0021032C" w:rsidRDefault="00D04AAD" w:rsidP="0021032C">
      <w:pPr>
        <w:pStyle w:val="p1"/>
        <w:spacing w:line="360" w:lineRule="auto"/>
        <w:rPr>
          <w:rFonts w:ascii="Times New Roman" w:hAnsi="Times New Roman"/>
          <w:sz w:val="22"/>
          <w:szCs w:val="22"/>
        </w:rPr>
      </w:pPr>
    </w:p>
    <w:p w14:paraId="4A4389C4" w14:textId="77777777" w:rsidR="00D04AAD" w:rsidRPr="0021032C" w:rsidRDefault="00D04AAD" w:rsidP="0021032C">
      <w:pPr>
        <w:pStyle w:val="p1"/>
        <w:spacing w:line="360" w:lineRule="auto"/>
        <w:rPr>
          <w:rFonts w:ascii="Times New Roman" w:hAnsi="Times New Roman"/>
          <w:sz w:val="22"/>
          <w:szCs w:val="22"/>
        </w:rPr>
      </w:pPr>
    </w:p>
    <w:p w14:paraId="1C090A55" w14:textId="77777777" w:rsidR="00D04AAD" w:rsidRPr="0021032C" w:rsidRDefault="00D04AAD" w:rsidP="0021032C">
      <w:pPr>
        <w:pStyle w:val="p1"/>
        <w:spacing w:line="360" w:lineRule="auto"/>
        <w:rPr>
          <w:rFonts w:ascii="Times New Roman" w:hAnsi="Times New Roman"/>
          <w:sz w:val="22"/>
          <w:szCs w:val="22"/>
          <w:u w:val="single"/>
        </w:rPr>
      </w:pPr>
      <w:r w:rsidRPr="0021032C">
        <w:rPr>
          <w:rFonts w:ascii="Times New Roman" w:hAnsi="Times New Roman"/>
          <w:sz w:val="22"/>
          <w:szCs w:val="22"/>
          <w:u w:val="single"/>
        </w:rPr>
        <w:t>whether the effect of policy news depends on the degree of dissent amongst Committee members</w:t>
      </w:r>
    </w:p>
    <w:p w14:paraId="21DE2876" w14:textId="77777777" w:rsidR="00D04AAD" w:rsidRPr="0021032C" w:rsidRDefault="00D04AAD" w:rsidP="0021032C">
      <w:pPr>
        <w:pStyle w:val="p1"/>
        <w:spacing w:line="360" w:lineRule="auto"/>
        <w:rPr>
          <w:rFonts w:ascii="Times New Roman" w:hAnsi="Times New Roman"/>
          <w:sz w:val="22"/>
          <w:szCs w:val="22"/>
        </w:rPr>
      </w:pPr>
      <w:r w:rsidRPr="0021032C">
        <w:rPr>
          <w:rFonts w:ascii="Times New Roman" w:hAnsi="Times New Roman"/>
          <w:sz w:val="22"/>
          <w:szCs w:val="22"/>
        </w:rPr>
        <w:t>Gerlach-Kristen, Petra (2004) “Is the MPC’s Voting Record Informative about Future UK Monetary Policy?,” Scandinavian Journal of Economics, Vol. 106, No. 2, pp. 299–313, June.</w:t>
      </w:r>
    </w:p>
    <w:p w14:paraId="62C2F894" w14:textId="77777777" w:rsidR="00D04AAD" w:rsidRPr="0021032C" w:rsidRDefault="00D04AAD" w:rsidP="0021032C">
      <w:pPr>
        <w:pStyle w:val="p1"/>
        <w:spacing w:line="360" w:lineRule="auto"/>
        <w:rPr>
          <w:rFonts w:ascii="Times New Roman" w:hAnsi="Times New Roman"/>
          <w:sz w:val="22"/>
          <w:szCs w:val="22"/>
        </w:rPr>
      </w:pPr>
    </w:p>
    <w:p w14:paraId="6CC72B11" w14:textId="77777777" w:rsidR="00D04AAD" w:rsidRDefault="00D04AAD" w:rsidP="00184D25">
      <w:pPr>
        <w:pStyle w:val="p1"/>
        <w:spacing w:line="360" w:lineRule="auto"/>
        <w:rPr>
          <w:rFonts w:ascii="Times New Roman" w:hAnsi="Times New Roman"/>
          <w:sz w:val="22"/>
          <w:szCs w:val="22"/>
        </w:rPr>
      </w:pPr>
      <w:r w:rsidRPr="0021032C">
        <w:rPr>
          <w:rFonts w:ascii="Times New Roman" w:hAnsi="Times New Roman"/>
          <w:sz w:val="22"/>
          <w:szCs w:val="22"/>
        </w:rPr>
        <w:t>Riboni, Alessandro and Francisco Ruge-Murcia (2014) “Dissent in monetary policy decisions,” Journal of Monetary Economics, Vol. 66, pp. 137–154.</w:t>
      </w:r>
    </w:p>
    <w:p w14:paraId="3FFCEC59" w14:textId="77777777" w:rsidR="000E2397" w:rsidRDefault="000E2397" w:rsidP="00184D25">
      <w:pPr>
        <w:pStyle w:val="p1"/>
        <w:spacing w:line="360" w:lineRule="auto"/>
        <w:rPr>
          <w:rFonts w:ascii="Times New Roman" w:hAnsi="Times New Roman"/>
          <w:sz w:val="22"/>
          <w:szCs w:val="22"/>
        </w:rPr>
      </w:pPr>
    </w:p>
    <w:p w14:paraId="53700036" w14:textId="77777777" w:rsidR="000E2397" w:rsidRPr="000E2397" w:rsidRDefault="000E2397" w:rsidP="00184D25">
      <w:pPr>
        <w:pStyle w:val="p1"/>
        <w:spacing w:line="360" w:lineRule="auto"/>
        <w:rPr>
          <w:rFonts w:ascii="Times New Roman" w:hAnsi="Times New Roman"/>
          <w:sz w:val="22"/>
          <w:szCs w:val="22"/>
        </w:rPr>
      </w:pPr>
      <w:r w:rsidRPr="000E2397">
        <w:rPr>
          <w:rFonts w:ascii="Times New Roman" w:hAnsi="Times New Roman"/>
          <w:sz w:val="22"/>
          <w:szCs w:val="22"/>
        </w:rPr>
        <w:t>Miranda-Agrippino, Silvia and Tsvetelina Nenova (2022) “A tale of two global monetary policies,” Journal of International Economics, Vol. 136, p. 103606.</w:t>
      </w:r>
    </w:p>
    <w:p w14:paraId="6CA6BB65" w14:textId="77777777" w:rsidR="000E2397" w:rsidRPr="0021032C" w:rsidRDefault="000E2397" w:rsidP="00184D25">
      <w:pPr>
        <w:pStyle w:val="p1"/>
        <w:spacing w:line="360" w:lineRule="auto"/>
        <w:rPr>
          <w:rFonts w:ascii="Times New Roman" w:hAnsi="Times New Roman"/>
          <w:sz w:val="22"/>
          <w:szCs w:val="22"/>
        </w:rPr>
      </w:pPr>
    </w:p>
    <w:p w14:paraId="2FCC1B32" w14:textId="77777777" w:rsidR="00D04AAD" w:rsidRPr="0021032C" w:rsidRDefault="00D04AAD" w:rsidP="0021032C">
      <w:pPr>
        <w:pStyle w:val="p1"/>
        <w:spacing w:line="360" w:lineRule="auto"/>
        <w:rPr>
          <w:rFonts w:ascii="Times New Roman" w:hAnsi="Times New Roman"/>
          <w:sz w:val="22"/>
          <w:szCs w:val="22"/>
        </w:rPr>
      </w:pPr>
    </w:p>
    <w:p w14:paraId="443C15EB" w14:textId="77777777" w:rsidR="00D04AAD" w:rsidRPr="0021032C" w:rsidRDefault="00D04AAD" w:rsidP="0021032C">
      <w:pPr>
        <w:pStyle w:val="p1"/>
        <w:spacing w:line="360" w:lineRule="auto"/>
        <w:rPr>
          <w:rFonts w:ascii="Times New Roman" w:hAnsi="Times New Roman"/>
          <w:sz w:val="22"/>
          <w:szCs w:val="22"/>
        </w:rPr>
      </w:pPr>
    </w:p>
    <w:p w14:paraId="5021C085" w14:textId="77777777" w:rsidR="00D04AAD" w:rsidRPr="0021032C" w:rsidRDefault="00D04AAD" w:rsidP="0021032C">
      <w:pPr>
        <w:pStyle w:val="p1"/>
        <w:spacing w:line="360" w:lineRule="auto"/>
        <w:rPr>
          <w:rFonts w:ascii="Times New Roman" w:hAnsi="Times New Roman"/>
          <w:sz w:val="22"/>
          <w:szCs w:val="22"/>
        </w:rPr>
      </w:pPr>
      <w:hyperlink r:id="rId14" w:history="1">
        <w:r w:rsidRPr="0021032C">
          <w:rPr>
            <w:rStyle w:val="Hyperlink"/>
            <w:rFonts w:ascii="Times New Roman" w:hAnsi="Times New Roman"/>
            <w:sz w:val="22"/>
            <w:szCs w:val="22"/>
          </w:rPr>
          <w:t>https://www.bankofengland.co.uk/inflation-report/1997/august-1997</w:t>
        </w:r>
      </w:hyperlink>
    </w:p>
    <w:p w14:paraId="499B4C17" w14:textId="77777777" w:rsidR="00D04AAD" w:rsidRPr="0021032C" w:rsidRDefault="00D04AAD" w:rsidP="0021032C">
      <w:pPr>
        <w:autoSpaceDE w:val="0"/>
        <w:autoSpaceDN w:val="0"/>
        <w:adjustRightInd w:val="0"/>
        <w:spacing w:after="0" w:line="360" w:lineRule="auto"/>
        <w:rPr>
          <w:rFonts w:ascii="Times New Roman" w:hAnsi="Times New Roman" w:cs="Times New Roman"/>
          <w:kern w:val="0"/>
          <w:sz w:val="22"/>
          <w:szCs w:val="22"/>
        </w:rPr>
      </w:pPr>
    </w:p>
    <w:p w14:paraId="7D6D16FD" w14:textId="7C80F876" w:rsidR="00DE0A23" w:rsidRDefault="00DE0A23" w:rsidP="0021032C">
      <w:pPr>
        <w:autoSpaceDE w:val="0"/>
        <w:autoSpaceDN w:val="0"/>
        <w:adjustRightInd w:val="0"/>
        <w:spacing w:after="0" w:line="360" w:lineRule="auto"/>
      </w:pPr>
      <w:hyperlink r:id="rId15" w:history="1">
        <w:r w:rsidRPr="0021032C">
          <w:rPr>
            <w:rStyle w:val="Hyperlink"/>
            <w:rFonts w:ascii="Times New Roman" w:hAnsi="Times New Roman" w:cs="Times New Roman"/>
            <w:kern w:val="0"/>
            <w:sz w:val="22"/>
            <w:szCs w:val="22"/>
          </w:rPr>
          <w:t>https://www.lseg.com/en/data-analytics/market-data/data-feeds/tick-history</w:t>
        </w:r>
      </w:hyperlink>
    </w:p>
    <w:p w14:paraId="782DE08D" w14:textId="77777777" w:rsidR="00AC50B4" w:rsidRDefault="00AC50B4" w:rsidP="0021032C">
      <w:pPr>
        <w:autoSpaceDE w:val="0"/>
        <w:autoSpaceDN w:val="0"/>
        <w:adjustRightInd w:val="0"/>
        <w:spacing w:after="0" w:line="360" w:lineRule="auto"/>
      </w:pPr>
    </w:p>
    <w:p w14:paraId="5EEE2573" w14:textId="1363D86A" w:rsidR="00AC50B4" w:rsidRDefault="00AC50B4" w:rsidP="0021032C">
      <w:pPr>
        <w:autoSpaceDE w:val="0"/>
        <w:autoSpaceDN w:val="0"/>
        <w:adjustRightInd w:val="0"/>
        <w:spacing w:after="0" w:line="360" w:lineRule="auto"/>
        <w:rPr>
          <w:rFonts w:ascii="Times New Roman" w:hAnsi="Times New Roman" w:cs="Times New Roman"/>
          <w:kern w:val="0"/>
          <w:sz w:val="22"/>
          <w:szCs w:val="22"/>
        </w:rPr>
      </w:pPr>
      <w:hyperlink r:id="rId16" w:history="1">
        <w:r w:rsidRPr="002210E3">
          <w:rPr>
            <w:rStyle w:val="Hyperlink"/>
            <w:rFonts w:ascii="Times New Roman" w:hAnsi="Times New Roman" w:cs="Times New Roman"/>
            <w:kern w:val="0"/>
            <w:sz w:val="22"/>
            <w:szCs w:val="22"/>
          </w:rPr>
          <w:t>https://www.bankofengland.co.uk/monetary-policy-summary-and-minutes/2016/mpc-august-2016</w:t>
        </w:r>
      </w:hyperlink>
    </w:p>
    <w:p w14:paraId="6CC1C125" w14:textId="7C7604D2" w:rsidR="00AC50B4" w:rsidRDefault="003075AB" w:rsidP="0021032C">
      <w:pPr>
        <w:autoSpaceDE w:val="0"/>
        <w:autoSpaceDN w:val="0"/>
        <w:adjustRightInd w:val="0"/>
        <w:spacing w:after="0" w:line="360" w:lineRule="auto"/>
        <w:rPr>
          <w:rFonts w:ascii="Times New Roman" w:hAnsi="Times New Roman" w:cs="Times New Roman"/>
          <w:kern w:val="0"/>
          <w:sz w:val="22"/>
          <w:szCs w:val="22"/>
        </w:rPr>
      </w:pPr>
      <w:hyperlink r:id="rId17" w:history="1">
        <w:r w:rsidRPr="002210E3">
          <w:rPr>
            <w:rStyle w:val="Hyperlink"/>
            <w:rFonts w:ascii="Times New Roman" w:hAnsi="Times New Roman" w:cs="Times New Roman"/>
            <w:kern w:val="0"/>
            <w:sz w:val="22"/>
            <w:szCs w:val="22"/>
          </w:rPr>
          <w:t>https://www.bankofengland.co.uk/monetary-policy-summary-and-minutes/2019/november-2019</w:t>
        </w:r>
      </w:hyperlink>
    </w:p>
    <w:p w14:paraId="335FD0BA" w14:textId="7AD049DB" w:rsidR="003075AB" w:rsidRDefault="003075AB" w:rsidP="0021032C">
      <w:pPr>
        <w:autoSpaceDE w:val="0"/>
        <w:autoSpaceDN w:val="0"/>
        <w:adjustRightInd w:val="0"/>
        <w:spacing w:after="0" w:line="360" w:lineRule="auto"/>
        <w:rPr>
          <w:rFonts w:ascii="Times New Roman" w:hAnsi="Times New Roman" w:cs="Times New Roman"/>
          <w:kern w:val="0"/>
          <w:sz w:val="22"/>
          <w:szCs w:val="22"/>
        </w:rPr>
      </w:pPr>
      <w:hyperlink r:id="rId18" w:history="1">
        <w:r w:rsidRPr="002210E3">
          <w:rPr>
            <w:rStyle w:val="Hyperlink"/>
            <w:rFonts w:ascii="Times New Roman" w:hAnsi="Times New Roman" w:cs="Times New Roman"/>
            <w:kern w:val="0"/>
            <w:sz w:val="22"/>
            <w:szCs w:val="22"/>
          </w:rPr>
          <w:t>https://www.bankofengland.co.uk/monetary-policy-summary-and-minutes/2020/january-2020</w:t>
        </w:r>
      </w:hyperlink>
    </w:p>
    <w:p w14:paraId="56ACDABF" w14:textId="77777777" w:rsidR="003075AB" w:rsidRPr="0021032C" w:rsidRDefault="003075AB" w:rsidP="0021032C">
      <w:pPr>
        <w:autoSpaceDE w:val="0"/>
        <w:autoSpaceDN w:val="0"/>
        <w:adjustRightInd w:val="0"/>
        <w:spacing w:after="0" w:line="360" w:lineRule="auto"/>
        <w:rPr>
          <w:rFonts w:ascii="Times New Roman" w:hAnsi="Times New Roman" w:cs="Times New Roman"/>
          <w:kern w:val="0"/>
          <w:sz w:val="22"/>
          <w:szCs w:val="22"/>
        </w:rPr>
      </w:pPr>
    </w:p>
    <w:p w14:paraId="21041CFD" w14:textId="212C8E85" w:rsidR="0030785C" w:rsidRDefault="0030785C">
      <w:pPr>
        <w:rPr>
          <w:rFonts w:ascii="Times New Roman" w:hAnsi="Times New Roman" w:cs="Times New Roman"/>
          <w:kern w:val="0"/>
          <w:sz w:val="22"/>
          <w:szCs w:val="22"/>
        </w:rPr>
      </w:pPr>
      <w:r>
        <w:rPr>
          <w:rFonts w:ascii="Times New Roman" w:hAnsi="Times New Roman" w:cs="Times New Roman"/>
          <w:kern w:val="0"/>
          <w:sz w:val="22"/>
          <w:szCs w:val="22"/>
        </w:rPr>
        <w:br w:type="page"/>
      </w:r>
    </w:p>
    <w:p w14:paraId="6FD9263D" w14:textId="5DB0DC9B" w:rsidR="00FD180C" w:rsidRDefault="0030785C" w:rsidP="00205987">
      <w:pPr>
        <w:pStyle w:val="Heading1"/>
      </w:pPr>
      <w:bookmarkStart w:id="10" w:name="_Toc227839917"/>
      <w:r w:rsidRPr="0030785C">
        <w:lastRenderedPageBreak/>
        <w:t>Appendix</w:t>
      </w:r>
      <w:bookmarkEnd w:id="10"/>
    </w:p>
    <w:p w14:paraId="32BF5C8D" w14:textId="77777777" w:rsidR="00205987" w:rsidRDefault="00205987" w:rsidP="00205987">
      <w:pPr>
        <w:pStyle w:val="font-claude-response-body"/>
        <w:rPr>
          <w:color w:val="000000"/>
        </w:rPr>
      </w:pPr>
      <w:r>
        <w:rPr>
          <w:rStyle w:val="Strong"/>
          <w:color w:val="000000"/>
        </w:rPr>
        <w:t>Main text (4 figures, 4 tables):</w:t>
      </w:r>
    </w:p>
    <w:p w14:paraId="724E52AE" w14:textId="77777777" w:rsidR="00205987" w:rsidRDefault="00205987" w:rsidP="00205987">
      <w:pPr>
        <w:pStyle w:val="whitespace-normal"/>
        <w:numPr>
          <w:ilvl w:val="0"/>
          <w:numId w:val="32"/>
        </w:numPr>
        <w:rPr>
          <w:color w:val="000000"/>
        </w:rPr>
      </w:pPr>
      <w:r>
        <w:rPr>
          <w:color w:val="000000"/>
        </w:rPr>
        <w:t>Table 1: Summary statistics (shocks + returns)</w:t>
      </w:r>
    </w:p>
    <w:p w14:paraId="41C6C5A9" w14:textId="77777777" w:rsidR="00205987" w:rsidRDefault="00205987" w:rsidP="00205987">
      <w:pPr>
        <w:pStyle w:val="whitespace-normal"/>
        <w:numPr>
          <w:ilvl w:val="0"/>
          <w:numId w:val="32"/>
        </w:numPr>
        <w:rPr>
          <w:color w:val="000000"/>
        </w:rPr>
      </w:pPr>
      <w:r>
        <w:rPr>
          <w:color w:val="000000"/>
        </w:rPr>
        <w:t>Table 2: Target-shock baseline results at selected horizons</w:t>
      </w:r>
    </w:p>
    <w:p w14:paraId="0199C62E" w14:textId="77777777" w:rsidR="00205987" w:rsidRDefault="00205987" w:rsidP="00205987">
      <w:pPr>
        <w:pStyle w:val="whitespace-normal"/>
        <w:numPr>
          <w:ilvl w:val="0"/>
          <w:numId w:val="32"/>
        </w:numPr>
        <w:rPr>
          <w:color w:val="000000"/>
        </w:rPr>
      </w:pPr>
      <w:r>
        <w:rPr>
          <w:color w:val="000000"/>
        </w:rPr>
        <w:t>Table 3: Target-shock asymmetry p-values across regimes</w:t>
      </w:r>
    </w:p>
    <w:p w14:paraId="035487C4" w14:textId="77777777" w:rsidR="00205987" w:rsidRDefault="00205987" w:rsidP="00205987">
      <w:pPr>
        <w:pStyle w:val="whitespace-normal"/>
        <w:numPr>
          <w:ilvl w:val="0"/>
          <w:numId w:val="32"/>
        </w:numPr>
        <w:rPr>
          <w:color w:val="000000"/>
        </w:rPr>
      </w:pPr>
      <w:r>
        <w:rPr>
          <w:color w:val="000000"/>
        </w:rPr>
        <w:t>Table 4: Robustness grid for Target-shock asymmetry</w:t>
      </w:r>
    </w:p>
    <w:p w14:paraId="5CE90E65" w14:textId="77777777" w:rsidR="00205987" w:rsidRDefault="00205987" w:rsidP="00205987">
      <w:pPr>
        <w:pStyle w:val="whitespace-normal"/>
        <w:numPr>
          <w:ilvl w:val="0"/>
          <w:numId w:val="32"/>
        </w:numPr>
        <w:rPr>
          <w:color w:val="000000"/>
        </w:rPr>
      </w:pPr>
      <w:r>
        <w:rPr>
          <w:color w:val="000000"/>
        </w:rPr>
        <w:t>Figure 1: Shock time series with regime dates</w:t>
      </w:r>
    </w:p>
    <w:p w14:paraId="73DA13C3" w14:textId="77777777" w:rsidR="00205987" w:rsidRDefault="00205987" w:rsidP="00205987">
      <w:pPr>
        <w:pStyle w:val="whitespace-normal"/>
        <w:numPr>
          <w:ilvl w:val="0"/>
          <w:numId w:val="32"/>
        </w:numPr>
        <w:rPr>
          <w:color w:val="000000"/>
        </w:rPr>
      </w:pPr>
      <w:r>
        <w:rPr>
          <w:color w:val="000000"/>
        </w:rPr>
        <w:t>Figure 2: Target-shock IRFs with asymmetry p-values</w:t>
      </w:r>
    </w:p>
    <w:p w14:paraId="103513FB" w14:textId="77777777" w:rsidR="00205987" w:rsidRDefault="00205987" w:rsidP="00205987">
      <w:pPr>
        <w:pStyle w:val="whitespace-normal"/>
        <w:numPr>
          <w:ilvl w:val="0"/>
          <w:numId w:val="32"/>
        </w:numPr>
        <w:rPr>
          <w:color w:val="000000"/>
        </w:rPr>
      </w:pPr>
      <w:r>
        <w:rPr>
          <w:color w:val="000000"/>
        </w:rPr>
        <w:t>Figure 3: Path-shock IRFs</w:t>
      </w:r>
    </w:p>
    <w:p w14:paraId="5F4C4C7D" w14:textId="77777777" w:rsidR="00205987" w:rsidRDefault="00205987" w:rsidP="00205987">
      <w:pPr>
        <w:pStyle w:val="whitespace-normal"/>
        <w:numPr>
          <w:ilvl w:val="0"/>
          <w:numId w:val="32"/>
        </w:numPr>
        <w:rPr>
          <w:color w:val="000000"/>
        </w:rPr>
      </w:pPr>
      <w:r>
        <w:rPr>
          <w:color w:val="000000"/>
        </w:rPr>
        <w:t>Figure 4: QE-shock IRFs (post-2009)</w:t>
      </w:r>
    </w:p>
    <w:p w14:paraId="0D1F3C1E" w14:textId="77777777" w:rsidR="00205987" w:rsidRDefault="00205987" w:rsidP="00205987">
      <w:pPr>
        <w:pStyle w:val="whitespace-normal"/>
        <w:numPr>
          <w:ilvl w:val="0"/>
          <w:numId w:val="32"/>
        </w:numPr>
        <w:rPr>
          <w:color w:val="000000"/>
        </w:rPr>
      </w:pPr>
      <w:r>
        <w:rPr>
          <w:color w:val="000000"/>
        </w:rPr>
        <w:t>Figure 5: Target-shock IRFs across regimes (small multiples)</w:t>
      </w:r>
    </w:p>
    <w:p w14:paraId="1C2E9849" w14:textId="77777777" w:rsidR="00205987" w:rsidRDefault="00205987" w:rsidP="00205987">
      <w:pPr>
        <w:pStyle w:val="font-claude-response-body"/>
        <w:rPr>
          <w:rStyle w:val="Strong"/>
          <w:color w:val="000000"/>
        </w:rPr>
      </w:pPr>
    </w:p>
    <w:p w14:paraId="0252032C" w14:textId="650C192C" w:rsidR="00205987" w:rsidRDefault="00205987" w:rsidP="00205987">
      <w:pPr>
        <w:pStyle w:val="font-claude-response-body"/>
        <w:rPr>
          <w:color w:val="000000"/>
        </w:rPr>
      </w:pPr>
      <w:r>
        <w:rPr>
          <w:rStyle w:val="Strong"/>
          <w:color w:val="000000"/>
        </w:rPr>
        <w:t>Appendix:</w:t>
      </w:r>
    </w:p>
    <w:p w14:paraId="1F507246" w14:textId="77777777" w:rsidR="00205987" w:rsidRDefault="00205987" w:rsidP="00205987">
      <w:pPr>
        <w:pStyle w:val="whitespace-normal"/>
        <w:numPr>
          <w:ilvl w:val="0"/>
          <w:numId w:val="33"/>
        </w:numPr>
        <w:rPr>
          <w:color w:val="000000"/>
        </w:rPr>
      </w:pPr>
      <w:r>
        <w:rPr>
          <w:color w:val="000000"/>
        </w:rPr>
        <w:t>Full coefficient tables for all shocks, all horizons, all specifications</w:t>
      </w:r>
    </w:p>
    <w:p w14:paraId="6C3C9F40" w14:textId="77777777" w:rsidR="00205987" w:rsidRDefault="00205987" w:rsidP="00205987">
      <w:pPr>
        <w:pStyle w:val="whitespace-normal"/>
        <w:numPr>
          <w:ilvl w:val="0"/>
          <w:numId w:val="33"/>
        </w:numPr>
        <w:rPr>
          <w:color w:val="000000"/>
        </w:rPr>
      </w:pPr>
      <w:r>
        <w:rPr>
          <w:color w:val="000000"/>
        </w:rPr>
        <w:t>Path and QE regime results</w:t>
      </w:r>
    </w:p>
    <w:p w14:paraId="6CB65774" w14:textId="77777777" w:rsidR="00205987" w:rsidRDefault="00205987" w:rsidP="00205987">
      <w:pPr>
        <w:pStyle w:val="whitespace-normal"/>
        <w:numPr>
          <w:ilvl w:val="0"/>
          <w:numId w:val="33"/>
        </w:numPr>
        <w:rPr>
          <w:color w:val="000000"/>
        </w:rPr>
      </w:pPr>
      <w:r>
        <w:rPr>
          <w:color w:val="000000"/>
        </w:rPr>
        <w:t>Robustness IRF plots for Path and QE</w:t>
      </w:r>
    </w:p>
    <w:p w14:paraId="2A45EB10" w14:textId="77777777" w:rsidR="00205987" w:rsidRDefault="00205987" w:rsidP="00205987">
      <w:pPr>
        <w:pStyle w:val="whitespace-normal"/>
        <w:numPr>
          <w:ilvl w:val="0"/>
          <w:numId w:val="33"/>
        </w:numPr>
        <w:rPr>
          <w:color w:val="000000"/>
        </w:rPr>
      </w:pPr>
      <w:r>
        <w:rPr>
          <w:color w:val="000000"/>
        </w:rPr>
        <w:t>FTSE 100 and All-Share baseline results (not just as controls, as alternative dependent variables)</w:t>
      </w:r>
    </w:p>
    <w:p w14:paraId="57578A45" w14:textId="77777777" w:rsidR="00205987" w:rsidRDefault="00205987" w:rsidP="00205987">
      <w:pPr>
        <w:pStyle w:val="whitespace-normal"/>
        <w:numPr>
          <w:ilvl w:val="0"/>
          <w:numId w:val="33"/>
        </w:numPr>
        <w:rPr>
          <w:color w:val="000000"/>
        </w:rPr>
      </w:pPr>
      <w:r>
        <w:rPr>
          <w:color w:val="000000"/>
        </w:rPr>
        <w:t>Shock diagnostics (histograms, cross-correlations, event-date list)</w:t>
      </w:r>
    </w:p>
    <w:p w14:paraId="54606184" w14:textId="77777777" w:rsidR="00205987" w:rsidRDefault="00205987" w:rsidP="00205987">
      <w:pPr>
        <w:pStyle w:val="whitespace-normal"/>
        <w:numPr>
          <w:ilvl w:val="0"/>
          <w:numId w:val="33"/>
        </w:numPr>
        <w:rPr>
          <w:color w:val="000000"/>
        </w:rPr>
      </w:pPr>
      <w:r>
        <w:rPr>
          <w:color w:val="000000"/>
        </w:rPr>
        <w:t>Lagged-return coefficients</w:t>
      </w:r>
    </w:p>
    <w:p w14:paraId="1089E6BD" w14:textId="77777777" w:rsidR="00205987" w:rsidRDefault="00205987" w:rsidP="00205987">
      <w:pPr>
        <w:pStyle w:val="whitespace-normal"/>
        <w:numPr>
          <w:ilvl w:val="0"/>
          <w:numId w:val="33"/>
        </w:numPr>
        <w:rPr>
          <w:color w:val="000000"/>
        </w:rPr>
      </w:pPr>
      <w:r>
        <w:rPr>
          <w:color w:val="000000"/>
        </w:rPr>
        <w:t>Interaction-specification results (v4)</w:t>
      </w:r>
    </w:p>
    <w:p w14:paraId="382D29FB" w14:textId="77777777" w:rsidR="00FD180C" w:rsidRDefault="00FD180C" w:rsidP="0030785C">
      <w:pPr>
        <w:spacing w:after="0" w:line="360" w:lineRule="auto"/>
        <w:rPr>
          <w:rFonts w:ascii="Times New Roman" w:hAnsi="Times New Roman" w:cs="Times New Roman"/>
          <w:b/>
          <w:bCs/>
          <w:kern w:val="0"/>
        </w:rPr>
      </w:pPr>
    </w:p>
    <w:p w14:paraId="031AAB9D" w14:textId="31366A25" w:rsidR="00FD180C" w:rsidRDefault="00FD180C">
      <w:pPr>
        <w:rPr>
          <w:rFonts w:ascii="Times New Roman" w:hAnsi="Times New Roman" w:cs="Times New Roman"/>
          <w:b/>
          <w:bCs/>
          <w:kern w:val="0"/>
        </w:rPr>
      </w:pPr>
      <w:r>
        <w:rPr>
          <w:rFonts w:ascii="Times New Roman" w:hAnsi="Times New Roman" w:cs="Times New Roman"/>
          <w:b/>
          <w:bCs/>
          <w:kern w:val="0"/>
        </w:rPr>
        <w:br w:type="page"/>
      </w:r>
    </w:p>
    <w:p w14:paraId="6382D7FF" w14:textId="7E36AEB6"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r w:rsidRPr="00353E09">
        <w:rPr>
          <w:rFonts w:ascii="Times New Roman" w:hAnsi="Times New Roman" w:cs="Times New Roman"/>
          <w:b/>
          <w:bCs/>
          <w:kern w:val="0"/>
          <w:sz w:val="22"/>
          <w:szCs w:val="22"/>
        </w:rPr>
        <w:lastRenderedPageBreak/>
        <w:t xml:space="preserve">Week </w:t>
      </w:r>
      <w:r w:rsidR="0076340C" w:rsidRPr="00353E09">
        <w:rPr>
          <w:rFonts w:ascii="Times New Roman" w:hAnsi="Times New Roman" w:cs="Times New Roman"/>
          <w:b/>
          <w:bCs/>
          <w:kern w:val="0"/>
          <w:sz w:val="22"/>
          <w:szCs w:val="22"/>
        </w:rPr>
        <w:t>20th</w:t>
      </w:r>
      <w:r w:rsidRPr="00353E09">
        <w:rPr>
          <w:rFonts w:ascii="Times New Roman" w:hAnsi="Times New Roman" w:cs="Times New Roman"/>
          <w:b/>
          <w:bCs/>
          <w:kern w:val="0"/>
          <w:sz w:val="22"/>
          <w:szCs w:val="22"/>
        </w:rPr>
        <w:t xml:space="preserve">: </w:t>
      </w:r>
      <w:r w:rsidR="0076340C" w:rsidRPr="00353E09">
        <w:rPr>
          <w:rFonts w:ascii="Times New Roman" w:hAnsi="Times New Roman" w:cs="Times New Roman"/>
          <w:b/>
          <w:bCs/>
          <w:kern w:val="0"/>
          <w:sz w:val="22"/>
          <w:szCs w:val="22"/>
        </w:rPr>
        <w:t>S</w:t>
      </w:r>
      <w:r w:rsidRPr="00353E09">
        <w:rPr>
          <w:rFonts w:ascii="Times New Roman" w:hAnsi="Times New Roman" w:cs="Times New Roman"/>
          <w:b/>
          <w:bCs/>
          <w:kern w:val="0"/>
          <w:sz w:val="22"/>
          <w:szCs w:val="22"/>
        </w:rPr>
        <w:t>top the project from expanding</w:t>
      </w:r>
    </w:p>
    <w:p w14:paraId="486907D1" w14:textId="61EC50D8"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 xml:space="preserve">Main dependent variables: </w:t>
      </w:r>
      <w:r w:rsidR="00353E09" w:rsidRPr="00353E09">
        <w:rPr>
          <w:rFonts w:ascii="Times New Roman" w:hAnsi="Times New Roman" w:cs="Times New Roman"/>
          <w:kern w:val="0"/>
          <w:sz w:val="22"/>
          <w:szCs w:val="22"/>
        </w:rPr>
        <w:t>FTSE 250</w:t>
      </w:r>
      <w:r w:rsidR="00353E09">
        <w:rPr>
          <w:rFonts w:ascii="Times New Roman" w:hAnsi="Times New Roman" w:cs="Times New Roman"/>
          <w:kern w:val="0"/>
          <w:sz w:val="22"/>
          <w:szCs w:val="22"/>
        </w:rPr>
        <w:t xml:space="preserve"> (then </w:t>
      </w:r>
      <w:r w:rsidRPr="00353E09">
        <w:rPr>
          <w:rFonts w:ascii="Times New Roman" w:hAnsi="Times New Roman" w:cs="Times New Roman"/>
          <w:kern w:val="0"/>
          <w:sz w:val="22"/>
          <w:szCs w:val="22"/>
        </w:rPr>
        <w:t>FTSE 100</w:t>
      </w:r>
      <w:r w:rsidR="00353E09">
        <w:rPr>
          <w:rFonts w:ascii="Times New Roman" w:hAnsi="Times New Roman" w:cs="Times New Roman"/>
          <w:kern w:val="0"/>
          <w:sz w:val="22"/>
          <w:szCs w:val="22"/>
        </w:rPr>
        <w:t xml:space="preserve"> and </w:t>
      </w:r>
      <w:r w:rsidRPr="00353E09">
        <w:rPr>
          <w:rFonts w:ascii="Times New Roman" w:hAnsi="Times New Roman" w:cs="Times New Roman"/>
          <w:kern w:val="0"/>
          <w:sz w:val="22"/>
          <w:szCs w:val="22"/>
        </w:rPr>
        <w:t>FTSE All-Share</w:t>
      </w:r>
      <w:r w:rsidR="00353E09">
        <w:rPr>
          <w:rFonts w:ascii="Times New Roman" w:hAnsi="Times New Roman" w:cs="Times New Roman"/>
          <w:kern w:val="0"/>
          <w:sz w:val="22"/>
          <w:szCs w:val="22"/>
        </w:rPr>
        <w:t>)</w:t>
      </w:r>
    </w:p>
    <w:p w14:paraId="227C1E04" w14:textId="77777777" w:rsidR="007634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 xml:space="preserve">Main </w:t>
      </w:r>
      <w:r w:rsidRPr="00FB4270">
        <w:rPr>
          <w:rFonts w:ascii="Times New Roman" w:hAnsi="Times New Roman" w:cs="Times New Roman"/>
          <w:kern w:val="0"/>
          <w:sz w:val="22"/>
          <w:szCs w:val="22"/>
        </w:rPr>
        <w:t>shocks: Target, Path, QE.</w:t>
      </w:r>
    </w:p>
    <w:p w14:paraId="0165A3B2" w14:textId="0AB982F2" w:rsidR="007634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Main asymmetry: tightening vs easing</w:t>
      </w:r>
    </w:p>
    <w:p w14:paraId="5D18200E" w14:textId="77777777" w:rsidR="007634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Main sample splits: full sample plus post-QE / Super Thursday if useful.</w:t>
      </w:r>
    </w:p>
    <w:p w14:paraId="239C1DF1" w14:textId="301BDB7B" w:rsidR="00FD18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Which output folder is final: v4</w:t>
      </w:r>
      <w:r w:rsidR="00E140F5" w:rsidRPr="00FB4270">
        <w:rPr>
          <w:rFonts w:ascii="Times New Roman" w:hAnsi="Times New Roman" w:cs="Times New Roman"/>
          <w:kern w:val="0"/>
          <w:sz w:val="22"/>
          <w:szCs w:val="22"/>
        </w:rPr>
        <w:t xml:space="preserve"> or v5</w:t>
      </w:r>
    </w:p>
    <w:p w14:paraId="3735668A" w14:textId="77777777" w:rsidR="00FD180C" w:rsidRPr="00FB4270" w:rsidRDefault="00FD180C" w:rsidP="00FD180C">
      <w:p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Tasks:</w:t>
      </w:r>
    </w:p>
    <w:p w14:paraId="0D0060C3" w14:textId="769ED7C4" w:rsidR="00FB4270" w:rsidRPr="00FB4270" w:rsidRDefault="00FB4270" w:rsidP="00FB4270">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color w:val="000000"/>
          <w:sz w:val="22"/>
          <w:szCs w:val="22"/>
        </w:rPr>
        <w:t>download VFTSE from FTSE Russell or a commercial source, define the high-VIX indicator, modify the baseline LP function to include the interaction terms, run for Target shocks at h=0,5,10.</w:t>
      </w:r>
      <w:r w:rsidRPr="00FB4270">
        <w:rPr>
          <w:rStyle w:val="apple-converted-space"/>
          <w:rFonts w:ascii="Times New Roman" w:hAnsi="Times New Roman" w:cs="Times New Roman"/>
          <w:color w:val="000000"/>
          <w:sz w:val="22"/>
          <w:szCs w:val="22"/>
        </w:rPr>
        <w:t> </w:t>
      </w:r>
    </w:p>
    <w:p w14:paraId="16AB9A9F" w14:textId="5256E71C" w:rsidR="00FD18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Clean repo enough to share with advisor.</w:t>
      </w:r>
    </w:p>
    <w:p w14:paraId="471AC799" w14:textId="4D76998E" w:rsidR="00FD180C" w:rsidRPr="00FB4270"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Write rough Data and Methodology sections.</w:t>
      </w:r>
    </w:p>
    <w:p w14:paraId="69681E08" w14:textId="6605EA69"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FB4270">
        <w:rPr>
          <w:rFonts w:ascii="Times New Roman" w:hAnsi="Times New Roman" w:cs="Times New Roman"/>
          <w:kern w:val="0"/>
          <w:sz w:val="22"/>
          <w:szCs w:val="22"/>
        </w:rPr>
        <w:t>Make a table describing datasets, dates,</w:t>
      </w:r>
      <w:r w:rsidRPr="00353E09">
        <w:rPr>
          <w:rFonts w:ascii="Times New Roman" w:hAnsi="Times New Roman" w:cs="Times New Roman"/>
          <w:kern w:val="0"/>
          <w:sz w:val="22"/>
          <w:szCs w:val="22"/>
        </w:rPr>
        <w:t xml:space="preserve"> variables, and shock definitions.</w:t>
      </w:r>
    </w:p>
    <w:p w14:paraId="5A5516DC" w14:textId="77777777"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p>
    <w:p w14:paraId="0D5ADCBA" w14:textId="24B99285" w:rsidR="00FD180C" w:rsidRPr="00353E09" w:rsidRDefault="0076340C" w:rsidP="00FD180C">
      <w:pPr>
        <w:autoSpaceDE w:val="0"/>
        <w:autoSpaceDN w:val="0"/>
        <w:adjustRightInd w:val="0"/>
        <w:spacing w:after="0" w:line="240" w:lineRule="auto"/>
        <w:rPr>
          <w:rFonts w:ascii="Times New Roman" w:hAnsi="Times New Roman" w:cs="Times New Roman"/>
          <w:b/>
          <w:bCs/>
          <w:kern w:val="0"/>
          <w:sz w:val="22"/>
          <w:szCs w:val="22"/>
        </w:rPr>
      </w:pPr>
      <w:r w:rsidRPr="00353E09">
        <w:rPr>
          <w:rFonts w:ascii="Times New Roman" w:hAnsi="Times New Roman" w:cs="Times New Roman"/>
          <w:b/>
          <w:bCs/>
          <w:kern w:val="0"/>
          <w:sz w:val="22"/>
          <w:szCs w:val="22"/>
        </w:rPr>
        <w:t>Week 27th: F</w:t>
      </w:r>
      <w:r w:rsidR="00FD180C" w:rsidRPr="00353E09">
        <w:rPr>
          <w:rFonts w:ascii="Times New Roman" w:hAnsi="Times New Roman" w:cs="Times New Roman"/>
          <w:b/>
          <w:bCs/>
          <w:kern w:val="0"/>
          <w:sz w:val="22"/>
          <w:szCs w:val="22"/>
        </w:rPr>
        <w:t>inish Results</w:t>
      </w:r>
    </w:p>
    <w:p w14:paraId="6CB14BAE"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Re-run final scripts from a clean state.</w:t>
      </w:r>
    </w:p>
    <w:p w14:paraId="73CDC0DD"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Decide your 4-6 main figures.</w:t>
      </w:r>
    </w:p>
    <w:p w14:paraId="303D236A"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Create 1-2 summary tables from the CSV outputs.</w:t>
      </w:r>
    </w:p>
    <w:p w14:paraId="1B091C88"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Write the Results section around the figures.</w:t>
      </w:r>
    </w:p>
    <w:p w14:paraId="43D49D02" w14:textId="5546DFEB"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Decide whether the result is “strong evidence,” “mixed evidence,” or “limited evidence” of asymmetry. Be honest. A good dissertation can have nuanced results.</w:t>
      </w:r>
    </w:p>
    <w:p w14:paraId="4E984119" w14:textId="77777777" w:rsidR="00FD180C" w:rsidRPr="00353E09" w:rsidRDefault="00FD180C" w:rsidP="00FD180C">
      <w:p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Avoid:</w:t>
      </w:r>
    </w:p>
    <w:p w14:paraId="42064116" w14:textId="13BD972A"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Adding sector analysis unless your main results are already written.</w:t>
      </w:r>
    </w:p>
    <w:p w14:paraId="04FBBD24" w14:textId="637F2704"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Adding lots of v4 regime interactions unless they directly answer the question.</w:t>
      </w:r>
    </w:p>
    <w:p w14:paraId="4893C0E1" w14:textId="77777777"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p>
    <w:p w14:paraId="675B576B" w14:textId="12DC1DA6" w:rsidR="00FD180C" w:rsidRPr="00353E09" w:rsidRDefault="00FD180C" w:rsidP="00FD180C">
      <w:p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b/>
          <w:bCs/>
          <w:kern w:val="0"/>
          <w:sz w:val="22"/>
          <w:szCs w:val="22"/>
        </w:rPr>
        <w:t>Wee</w:t>
      </w:r>
      <w:r w:rsidR="0076340C" w:rsidRPr="00353E09">
        <w:rPr>
          <w:rFonts w:ascii="Times New Roman" w:hAnsi="Times New Roman" w:cs="Times New Roman"/>
          <w:b/>
          <w:bCs/>
          <w:kern w:val="0"/>
          <w:sz w:val="22"/>
          <w:szCs w:val="22"/>
        </w:rPr>
        <w:t xml:space="preserve">k 4th: </w:t>
      </w:r>
      <w:r w:rsidRPr="00353E09">
        <w:rPr>
          <w:rFonts w:ascii="Times New Roman" w:hAnsi="Times New Roman" w:cs="Times New Roman"/>
          <w:b/>
          <w:bCs/>
          <w:kern w:val="0"/>
          <w:sz w:val="22"/>
          <w:szCs w:val="22"/>
        </w:rPr>
        <w:t xml:space="preserve">Full </w:t>
      </w:r>
      <w:r w:rsidR="00797DD3">
        <w:rPr>
          <w:rFonts w:ascii="Times New Roman" w:hAnsi="Times New Roman" w:cs="Times New Roman"/>
          <w:b/>
          <w:bCs/>
          <w:kern w:val="0"/>
          <w:sz w:val="22"/>
          <w:szCs w:val="22"/>
        </w:rPr>
        <w:t xml:space="preserve">Ugly </w:t>
      </w:r>
      <w:r w:rsidRPr="00353E09">
        <w:rPr>
          <w:rFonts w:ascii="Times New Roman" w:hAnsi="Times New Roman" w:cs="Times New Roman"/>
          <w:b/>
          <w:bCs/>
          <w:kern w:val="0"/>
          <w:sz w:val="22"/>
          <w:szCs w:val="22"/>
        </w:rPr>
        <w:t>Draft</w:t>
      </w:r>
    </w:p>
    <w:p w14:paraId="42CFF62D" w14:textId="0D8F9BE8" w:rsidR="0076340C" w:rsidRPr="00797DD3" w:rsidRDefault="00FD180C"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Write Introduction</w:t>
      </w:r>
      <w:r w:rsidR="00797DD3">
        <w:rPr>
          <w:rFonts w:ascii="Times New Roman" w:hAnsi="Times New Roman" w:cs="Times New Roman"/>
          <w:kern w:val="0"/>
          <w:sz w:val="22"/>
          <w:szCs w:val="22"/>
        </w:rPr>
        <w:t xml:space="preserve"> &amp; </w:t>
      </w:r>
      <w:r w:rsidRPr="00797DD3">
        <w:rPr>
          <w:rFonts w:ascii="Times New Roman" w:hAnsi="Times New Roman" w:cs="Times New Roman"/>
          <w:kern w:val="0"/>
          <w:sz w:val="22"/>
          <w:szCs w:val="22"/>
        </w:rPr>
        <w:t>Literature/background.</w:t>
      </w:r>
    </w:p>
    <w:p w14:paraId="08DD39AE" w14:textId="4F0A804E" w:rsidR="0076340C" w:rsidRPr="00797DD3" w:rsidRDefault="00FD180C"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Finish Methodology</w:t>
      </w:r>
      <w:r w:rsidR="00797DD3">
        <w:rPr>
          <w:rFonts w:ascii="Times New Roman" w:hAnsi="Times New Roman" w:cs="Times New Roman"/>
          <w:kern w:val="0"/>
          <w:sz w:val="22"/>
          <w:szCs w:val="22"/>
        </w:rPr>
        <w:t xml:space="preserve"> &amp;</w:t>
      </w:r>
      <w:r w:rsidRPr="00797DD3">
        <w:rPr>
          <w:rFonts w:ascii="Times New Roman" w:hAnsi="Times New Roman" w:cs="Times New Roman"/>
          <w:kern w:val="0"/>
          <w:sz w:val="22"/>
          <w:szCs w:val="22"/>
        </w:rPr>
        <w:t xml:space="preserve"> Results.</w:t>
      </w:r>
    </w:p>
    <w:p w14:paraId="141BFC3E"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Draft Conclusion.</w:t>
      </w:r>
    </w:p>
    <w:p w14:paraId="48A6A727"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 references in AER/Chicago author-date style.</w:t>
      </w:r>
    </w:p>
    <w:p w14:paraId="6F795705" w14:textId="43D46AEC" w:rsidR="00FD180C" w:rsidRPr="004A3F59" w:rsidRDefault="00FD180C" w:rsidP="00FD18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Move extra results to appendix.</w:t>
      </w:r>
    </w:p>
    <w:p w14:paraId="29E3AC76" w14:textId="333171D8"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1. </w:t>
      </w:r>
      <w:r w:rsidR="00797DD3" w:rsidRPr="004A3F59">
        <w:rPr>
          <w:rFonts w:ascii="Times New Roman" w:hAnsi="Times New Roman" w:cs="Times New Roman"/>
          <w:kern w:val="0"/>
          <w:sz w:val="22"/>
          <w:szCs w:val="22"/>
        </w:rPr>
        <w:t>What question are you asking?</w:t>
      </w:r>
    </w:p>
    <w:p w14:paraId="1E5BEB3C" w14:textId="532D50B6"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2. </w:t>
      </w:r>
      <w:r w:rsidR="00797DD3" w:rsidRPr="004A3F59">
        <w:rPr>
          <w:rFonts w:ascii="Times New Roman" w:hAnsi="Times New Roman" w:cs="Times New Roman"/>
          <w:kern w:val="0"/>
          <w:sz w:val="22"/>
          <w:szCs w:val="22"/>
        </w:rPr>
        <w:t>What data identifies the shocks?</w:t>
      </w:r>
    </w:p>
    <w:p w14:paraId="475C1165" w14:textId="0B9C8FF4"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3. </w:t>
      </w:r>
      <w:r w:rsidR="00797DD3" w:rsidRPr="004A3F59">
        <w:rPr>
          <w:rFonts w:ascii="Times New Roman" w:hAnsi="Times New Roman" w:cs="Times New Roman"/>
          <w:kern w:val="0"/>
          <w:sz w:val="22"/>
          <w:szCs w:val="22"/>
        </w:rPr>
        <w:t>What model estimates the response?</w:t>
      </w:r>
    </w:p>
    <w:p w14:paraId="32143D2A" w14:textId="70A0F499"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4. </w:t>
      </w:r>
      <w:r w:rsidR="00797DD3" w:rsidRPr="004A3F59">
        <w:rPr>
          <w:rFonts w:ascii="Times New Roman" w:hAnsi="Times New Roman" w:cs="Times New Roman"/>
          <w:kern w:val="0"/>
          <w:sz w:val="22"/>
          <w:szCs w:val="22"/>
        </w:rPr>
        <w:t>What do the results say?</w:t>
      </w:r>
    </w:p>
    <w:p w14:paraId="74277C97" w14:textId="20F93CB6" w:rsidR="00797DD3" w:rsidRPr="004A3F59" w:rsidRDefault="004A3F59" w:rsidP="004A3F59">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5. </w:t>
      </w:r>
      <w:r w:rsidR="00797DD3" w:rsidRPr="004A3F59">
        <w:rPr>
          <w:rFonts w:ascii="Times New Roman" w:hAnsi="Times New Roman" w:cs="Times New Roman"/>
          <w:kern w:val="0"/>
          <w:sz w:val="22"/>
          <w:szCs w:val="22"/>
        </w:rPr>
        <w:t>How cautious should we be?</w:t>
      </w:r>
    </w:p>
    <w:p w14:paraId="1D0C5B05" w14:textId="77777777" w:rsidR="00FD180C" w:rsidRPr="00353E09" w:rsidRDefault="00FD180C" w:rsidP="00FD180C">
      <w:pPr>
        <w:autoSpaceDE w:val="0"/>
        <w:autoSpaceDN w:val="0"/>
        <w:adjustRightInd w:val="0"/>
        <w:spacing w:after="0" w:line="240" w:lineRule="auto"/>
        <w:rPr>
          <w:rFonts w:ascii="Times New Roman" w:hAnsi="Times New Roman" w:cs="Times New Roman"/>
          <w:b/>
          <w:bCs/>
          <w:kern w:val="0"/>
          <w:sz w:val="22"/>
          <w:szCs w:val="22"/>
        </w:rPr>
      </w:pPr>
    </w:p>
    <w:p w14:paraId="7E0CA08F" w14:textId="46ECBCCF" w:rsidR="00FD180C" w:rsidRPr="00353E09" w:rsidRDefault="00FD180C" w:rsidP="00FD180C">
      <w:p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b/>
          <w:bCs/>
          <w:kern w:val="0"/>
          <w:sz w:val="22"/>
          <w:szCs w:val="22"/>
        </w:rPr>
        <w:t xml:space="preserve">Week </w:t>
      </w:r>
      <w:r w:rsidR="0076340C" w:rsidRPr="00353E09">
        <w:rPr>
          <w:rFonts w:ascii="Times New Roman" w:hAnsi="Times New Roman" w:cs="Times New Roman"/>
          <w:b/>
          <w:bCs/>
          <w:kern w:val="0"/>
          <w:sz w:val="22"/>
          <w:szCs w:val="22"/>
        </w:rPr>
        <w:t>11th</w:t>
      </w:r>
      <w:r w:rsidRPr="00353E09">
        <w:rPr>
          <w:rFonts w:ascii="Times New Roman" w:hAnsi="Times New Roman" w:cs="Times New Roman"/>
          <w:b/>
          <w:bCs/>
          <w:kern w:val="0"/>
          <w:sz w:val="22"/>
          <w:szCs w:val="22"/>
        </w:rPr>
        <w:t xml:space="preserve">: </w:t>
      </w:r>
      <w:r w:rsidR="00797DD3">
        <w:rPr>
          <w:rFonts w:ascii="Times New Roman" w:hAnsi="Times New Roman" w:cs="Times New Roman"/>
          <w:b/>
          <w:bCs/>
          <w:kern w:val="0"/>
          <w:sz w:val="22"/>
          <w:szCs w:val="22"/>
        </w:rPr>
        <w:t>Convert to Latex</w:t>
      </w:r>
    </w:p>
    <w:p w14:paraId="34CF04A0" w14:textId="0F1618A3" w:rsidR="0076340C" w:rsidRPr="00797DD3" w:rsidRDefault="00797DD3"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 xml:space="preserve">Check formatting: 25pgs, </w:t>
      </w:r>
      <w:r w:rsidR="00FD180C" w:rsidRPr="00797DD3">
        <w:rPr>
          <w:rFonts w:ascii="Times New Roman" w:hAnsi="Times New Roman" w:cs="Times New Roman"/>
          <w:kern w:val="0"/>
          <w:sz w:val="22"/>
          <w:szCs w:val="22"/>
        </w:rPr>
        <w:t>double spacing, Times New Roman 12pt, black text, 2.5 cm margins.</w:t>
      </w:r>
    </w:p>
    <w:p w14:paraId="7052A68C" w14:textId="6BC19106" w:rsidR="0076340C" w:rsidRPr="00797DD3" w:rsidRDefault="00FD180C" w:rsidP="00797DD3">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Check page numbering: cover page p. 0, abstract p. 1.</w:t>
      </w:r>
      <w:r w:rsidR="00797DD3">
        <w:rPr>
          <w:rFonts w:ascii="Times New Roman" w:hAnsi="Times New Roman" w:cs="Times New Roman"/>
          <w:kern w:val="0"/>
          <w:sz w:val="22"/>
          <w:szCs w:val="22"/>
        </w:rPr>
        <w:t xml:space="preserve"> (</w:t>
      </w:r>
      <w:r w:rsidRPr="00797DD3">
        <w:rPr>
          <w:rFonts w:ascii="Times New Roman" w:hAnsi="Times New Roman" w:cs="Times New Roman"/>
          <w:kern w:val="0"/>
          <w:sz w:val="22"/>
          <w:szCs w:val="22"/>
        </w:rPr>
        <w:t>Ensure abstract under 100 words.</w:t>
      </w:r>
      <w:r w:rsidR="00797DD3">
        <w:rPr>
          <w:rFonts w:ascii="Times New Roman" w:hAnsi="Times New Roman" w:cs="Times New Roman"/>
          <w:kern w:val="0"/>
          <w:sz w:val="22"/>
          <w:szCs w:val="22"/>
        </w:rPr>
        <w:t>)</w:t>
      </w:r>
    </w:p>
    <w:p w14:paraId="64625C8C"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Add mandatory funding statement.</w:t>
      </w:r>
    </w:p>
    <w:p w14:paraId="03C28693"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Check every figure/table is referenced in text.</w:t>
      </w:r>
    </w:p>
    <w:p w14:paraId="5B9075B7"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Check references match in-text citations.</w:t>
      </w:r>
    </w:p>
    <w:p w14:paraId="5F130EFF" w14:textId="77777777" w:rsidR="007634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Export final PDF.</w:t>
      </w:r>
    </w:p>
    <w:p w14:paraId="46026314" w14:textId="652BDEE6" w:rsidR="00FD180C" w:rsidRPr="00353E09" w:rsidRDefault="00FD180C" w:rsidP="0076340C">
      <w:pPr>
        <w:pStyle w:val="ListParagraph"/>
        <w:numPr>
          <w:ilvl w:val="0"/>
          <w:numId w:val="20"/>
        </w:numPr>
        <w:autoSpaceDE w:val="0"/>
        <w:autoSpaceDN w:val="0"/>
        <w:adjustRightInd w:val="0"/>
        <w:spacing w:after="0" w:line="240" w:lineRule="auto"/>
        <w:rPr>
          <w:rFonts w:ascii="Times New Roman" w:hAnsi="Times New Roman" w:cs="Times New Roman"/>
          <w:kern w:val="0"/>
          <w:sz w:val="22"/>
          <w:szCs w:val="22"/>
        </w:rPr>
      </w:pPr>
      <w:r w:rsidRPr="00353E09">
        <w:rPr>
          <w:rFonts w:ascii="Times New Roman" w:hAnsi="Times New Roman" w:cs="Times New Roman"/>
          <w:kern w:val="0"/>
          <w:sz w:val="22"/>
          <w:szCs w:val="22"/>
        </w:rPr>
        <w:t>Send advisor the GitHub repo plus PDF draft.</w:t>
      </w:r>
    </w:p>
    <w:p w14:paraId="472D2EB6" w14:textId="77777777" w:rsidR="00353E09" w:rsidRPr="00353E09" w:rsidRDefault="00353E09" w:rsidP="00FD180C">
      <w:pPr>
        <w:autoSpaceDE w:val="0"/>
        <w:autoSpaceDN w:val="0"/>
        <w:adjustRightInd w:val="0"/>
        <w:spacing w:after="0" w:line="240" w:lineRule="auto"/>
        <w:rPr>
          <w:rFonts w:ascii="Times New Roman" w:hAnsi="Times New Roman" w:cs="Times New Roman"/>
          <w:b/>
          <w:bCs/>
          <w:kern w:val="0"/>
          <w:sz w:val="22"/>
          <w:szCs w:val="22"/>
        </w:rPr>
      </w:pPr>
    </w:p>
    <w:sectPr w:rsidR="00353E09" w:rsidRPr="00353E09" w:rsidSect="00A976EF">
      <w:footerReference w:type="even" r:id="rId19"/>
      <w:footerReference w:type="default" r:id="rId20"/>
      <w:pgSz w:w="12240" w:h="15840"/>
      <w:pgMar w:top="1440" w:right="1440" w:bottom="1440" w:left="1440" w:header="720" w:footer="720" w:gutter="0"/>
      <w:pgNumType w:start="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B5E27" w14:textId="77777777" w:rsidR="00347E95" w:rsidRDefault="00347E95" w:rsidP="00A976EF">
      <w:pPr>
        <w:spacing w:after="0" w:line="240" w:lineRule="auto"/>
      </w:pPr>
      <w:r>
        <w:separator/>
      </w:r>
    </w:p>
  </w:endnote>
  <w:endnote w:type="continuationSeparator" w:id="0">
    <w:p w14:paraId="071A9023" w14:textId="77777777" w:rsidR="00347E95" w:rsidRDefault="00347E95" w:rsidP="00A97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pitch w:val="default"/>
    <w:sig w:usb0="00000003" w:usb1="00000000" w:usb2="00000000" w:usb3="00000000" w:csb0="00000001" w:csb1="00000000"/>
  </w:font>
  <w:font w:name="-webkit-standard">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68742233"/>
      <w:docPartObj>
        <w:docPartGallery w:val="Page Numbers (Bottom of Page)"/>
        <w:docPartUnique/>
      </w:docPartObj>
    </w:sdtPr>
    <w:sdtContent>
      <w:p w14:paraId="3FB11E78" w14:textId="2D3A049F" w:rsidR="00A976EF" w:rsidRDefault="00A976EF" w:rsidP="009A07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7388E20" w14:textId="77777777" w:rsidR="00A976EF" w:rsidRDefault="00A976EF" w:rsidP="00A976E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9308373"/>
      <w:docPartObj>
        <w:docPartGallery w:val="Page Numbers (Bottom of Page)"/>
        <w:docPartUnique/>
      </w:docPartObj>
    </w:sdtPr>
    <w:sdtContent>
      <w:p w14:paraId="16A15DEE" w14:textId="45C0A0E7" w:rsidR="00A976EF" w:rsidRDefault="00A976EF" w:rsidP="009A078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E70B18" w14:textId="77777777" w:rsidR="00A976EF" w:rsidRDefault="00A976EF" w:rsidP="00A976E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8A10C" w14:textId="77777777" w:rsidR="00347E95" w:rsidRDefault="00347E95" w:rsidP="00A976EF">
      <w:pPr>
        <w:spacing w:after="0" w:line="240" w:lineRule="auto"/>
      </w:pPr>
      <w:r>
        <w:separator/>
      </w:r>
    </w:p>
  </w:footnote>
  <w:footnote w:type="continuationSeparator" w:id="0">
    <w:p w14:paraId="44B00E3C" w14:textId="77777777" w:rsidR="00347E95" w:rsidRDefault="00347E95" w:rsidP="00A976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B6069918"/>
    <w:lvl w:ilvl="0" w:tplc="B06E0880">
      <w:start w:val="1"/>
      <w:numFmt w:val="decimal"/>
      <w:lvlText w:val="%1"/>
      <w:lvlJc w:val="left"/>
      <w:pPr>
        <w:ind w:left="720" w:hanging="360"/>
      </w:pPr>
      <w:rPr>
        <w:rFonts w:ascii="Times New Roman" w:eastAsiaTheme="minorHAnsi" w:hAnsi="Times New Roman" w:cs="Times New Roman"/>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E74126"/>
    <w:multiLevelType w:val="hybridMultilevel"/>
    <w:tmpl w:val="B2EE08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1B47B51"/>
    <w:multiLevelType w:val="hybridMultilevel"/>
    <w:tmpl w:val="9536A552"/>
    <w:lvl w:ilvl="0" w:tplc="3E9EC5D8">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56038B"/>
    <w:multiLevelType w:val="hybridMultilevel"/>
    <w:tmpl w:val="D842006C"/>
    <w:lvl w:ilvl="0" w:tplc="F23EF13A">
      <w:start w:val="3"/>
      <w:numFmt w:val="bullet"/>
      <w:lvlText w:val="-"/>
      <w:lvlJc w:val="left"/>
      <w:pPr>
        <w:ind w:left="720" w:hanging="360"/>
      </w:pPr>
      <w:rPr>
        <w:rFonts w:ascii="AppleSystemUIFont" w:eastAsiaTheme="minorHAnsi" w:hAnsi="AppleSystemUIFont" w:cs="AppleSystemUIFon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E6B5DA5"/>
    <w:multiLevelType w:val="multilevel"/>
    <w:tmpl w:val="B79C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A239A8"/>
    <w:multiLevelType w:val="hybridMultilevel"/>
    <w:tmpl w:val="5AF4D914"/>
    <w:lvl w:ilvl="0" w:tplc="8ECA782A">
      <w:start w:val="30"/>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0E30A35"/>
    <w:multiLevelType w:val="multilevel"/>
    <w:tmpl w:val="9BE05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0F4157"/>
    <w:multiLevelType w:val="multilevel"/>
    <w:tmpl w:val="C1CE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40523"/>
    <w:multiLevelType w:val="multilevel"/>
    <w:tmpl w:val="A330D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2C3549"/>
    <w:multiLevelType w:val="hybridMultilevel"/>
    <w:tmpl w:val="31CCEB76"/>
    <w:lvl w:ilvl="0" w:tplc="20524BFA">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1376F60"/>
    <w:multiLevelType w:val="multilevel"/>
    <w:tmpl w:val="1926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0282A"/>
    <w:multiLevelType w:val="hybridMultilevel"/>
    <w:tmpl w:val="9BE081B0"/>
    <w:lvl w:ilvl="0" w:tplc="A3AA4474">
      <w:start w:val="3"/>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A0A09DD"/>
    <w:multiLevelType w:val="multilevel"/>
    <w:tmpl w:val="4A0E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A36B6D"/>
    <w:multiLevelType w:val="multilevel"/>
    <w:tmpl w:val="1710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22AFE"/>
    <w:multiLevelType w:val="multilevel"/>
    <w:tmpl w:val="1A06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0523A"/>
    <w:multiLevelType w:val="hybridMultilevel"/>
    <w:tmpl w:val="0A5E27D2"/>
    <w:lvl w:ilvl="0" w:tplc="79DA1850">
      <w:start w:val="3"/>
      <w:numFmt w:val="bullet"/>
      <w:lvlText w:val="-"/>
      <w:lvlJc w:val="left"/>
      <w:pPr>
        <w:ind w:left="720" w:hanging="360"/>
      </w:pPr>
      <w:rPr>
        <w:rFonts w:ascii="AppleSystemUIFont" w:eastAsiaTheme="minorHAnsi" w:hAnsi="AppleSystemUIFont" w:cs="AppleSystemUIFon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7292F2F"/>
    <w:multiLevelType w:val="hybridMultilevel"/>
    <w:tmpl w:val="EAA07AFA"/>
    <w:lvl w:ilvl="0" w:tplc="CB6686C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2887976"/>
    <w:multiLevelType w:val="multilevel"/>
    <w:tmpl w:val="ED6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A74B44"/>
    <w:multiLevelType w:val="multilevel"/>
    <w:tmpl w:val="7F7AF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B725B6"/>
    <w:multiLevelType w:val="multilevel"/>
    <w:tmpl w:val="F4D0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CB7329"/>
    <w:multiLevelType w:val="hybridMultilevel"/>
    <w:tmpl w:val="C9100F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C1F34D9"/>
    <w:multiLevelType w:val="multilevel"/>
    <w:tmpl w:val="6972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E14144"/>
    <w:multiLevelType w:val="multilevel"/>
    <w:tmpl w:val="1DE0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BF1278"/>
    <w:multiLevelType w:val="hybridMultilevel"/>
    <w:tmpl w:val="CF5A5A16"/>
    <w:lvl w:ilvl="0" w:tplc="6130E222">
      <w:start w:val="1050"/>
      <w:numFmt w:val="bullet"/>
      <w:lvlText w:val="-"/>
      <w:lvlJc w:val="left"/>
      <w:pPr>
        <w:ind w:left="720" w:hanging="360"/>
      </w:pPr>
      <w:rPr>
        <w:rFonts w:ascii="-webkit-standard" w:eastAsiaTheme="minorHAnsi" w:hAnsi="-webkit-standard" w:cstheme="minorBidi" w:hint="default"/>
        <w:color w:val="000000"/>
        <w:sz w:val="27"/>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2FE52F2"/>
    <w:multiLevelType w:val="hybridMultilevel"/>
    <w:tmpl w:val="3FA4F956"/>
    <w:lvl w:ilvl="0" w:tplc="57E41C26">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52E2C40"/>
    <w:multiLevelType w:val="multilevel"/>
    <w:tmpl w:val="7FC2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829384">
    <w:abstractNumId w:val="0"/>
  </w:num>
  <w:num w:numId="2" w16cid:durableId="20204321">
    <w:abstractNumId w:val="1"/>
  </w:num>
  <w:num w:numId="3" w16cid:durableId="236870006">
    <w:abstractNumId w:val="22"/>
  </w:num>
  <w:num w:numId="4" w16cid:durableId="1800955875">
    <w:abstractNumId w:val="31"/>
  </w:num>
  <w:num w:numId="5" w16cid:durableId="1931811932">
    <w:abstractNumId w:val="9"/>
  </w:num>
  <w:num w:numId="6" w16cid:durableId="730035056">
    <w:abstractNumId w:val="23"/>
  </w:num>
  <w:num w:numId="7" w16cid:durableId="1854108460">
    <w:abstractNumId w:val="11"/>
  </w:num>
  <w:num w:numId="8" w16cid:durableId="1078595848">
    <w:abstractNumId w:val="26"/>
  </w:num>
  <w:num w:numId="9" w16cid:durableId="376053578">
    <w:abstractNumId w:val="28"/>
  </w:num>
  <w:num w:numId="10" w16cid:durableId="711345486">
    <w:abstractNumId w:val="14"/>
  </w:num>
  <w:num w:numId="11" w16cid:durableId="1696807192">
    <w:abstractNumId w:val="13"/>
  </w:num>
  <w:num w:numId="12" w16cid:durableId="642318950">
    <w:abstractNumId w:val="30"/>
  </w:num>
  <w:num w:numId="13" w16cid:durableId="1514563679">
    <w:abstractNumId w:val="27"/>
  </w:num>
  <w:num w:numId="14" w16cid:durableId="265817463">
    <w:abstractNumId w:val="12"/>
  </w:num>
  <w:num w:numId="15" w16cid:durableId="1684161208">
    <w:abstractNumId w:val="17"/>
  </w:num>
  <w:num w:numId="16" w16cid:durableId="1159804307">
    <w:abstractNumId w:val="24"/>
  </w:num>
  <w:num w:numId="17" w16cid:durableId="1933858184">
    <w:abstractNumId w:val="19"/>
  </w:num>
  <w:num w:numId="18" w16cid:durableId="311300440">
    <w:abstractNumId w:val="29"/>
  </w:num>
  <w:num w:numId="19" w16cid:durableId="1424687782">
    <w:abstractNumId w:val="15"/>
  </w:num>
  <w:num w:numId="20" w16cid:durableId="597254198">
    <w:abstractNumId w:val="18"/>
  </w:num>
  <w:num w:numId="21" w16cid:durableId="1872646859">
    <w:abstractNumId w:val="2"/>
  </w:num>
  <w:num w:numId="22" w16cid:durableId="133790332">
    <w:abstractNumId w:val="3"/>
  </w:num>
  <w:num w:numId="23" w16cid:durableId="1161388811">
    <w:abstractNumId w:val="4"/>
  </w:num>
  <w:num w:numId="24" w16cid:durableId="1498375117">
    <w:abstractNumId w:val="5"/>
  </w:num>
  <w:num w:numId="25" w16cid:durableId="2106606117">
    <w:abstractNumId w:val="6"/>
  </w:num>
  <w:num w:numId="26" w16cid:durableId="1512454472">
    <w:abstractNumId w:val="7"/>
  </w:num>
  <w:num w:numId="27" w16cid:durableId="638346696">
    <w:abstractNumId w:val="10"/>
  </w:num>
  <w:num w:numId="28" w16cid:durableId="999238475">
    <w:abstractNumId w:val="16"/>
  </w:num>
  <w:num w:numId="29" w16cid:durableId="424955469">
    <w:abstractNumId w:val="25"/>
  </w:num>
  <w:num w:numId="30" w16cid:durableId="1961522609">
    <w:abstractNumId w:val="8"/>
  </w:num>
  <w:num w:numId="31" w16cid:durableId="1332951427">
    <w:abstractNumId w:val="32"/>
  </w:num>
  <w:num w:numId="32" w16cid:durableId="1293829502">
    <w:abstractNumId w:val="20"/>
  </w:num>
  <w:num w:numId="33" w16cid:durableId="169819741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6DD"/>
    <w:rsid w:val="000069DB"/>
    <w:rsid w:val="00031FC9"/>
    <w:rsid w:val="000448AB"/>
    <w:rsid w:val="000576F0"/>
    <w:rsid w:val="000972D9"/>
    <w:rsid w:val="000A2199"/>
    <w:rsid w:val="000A55C3"/>
    <w:rsid w:val="000E2397"/>
    <w:rsid w:val="000F0886"/>
    <w:rsid w:val="00115F7F"/>
    <w:rsid w:val="00116FA0"/>
    <w:rsid w:val="00131D3F"/>
    <w:rsid w:val="001616A0"/>
    <w:rsid w:val="00161E5D"/>
    <w:rsid w:val="00184D25"/>
    <w:rsid w:val="00205987"/>
    <w:rsid w:val="0021032C"/>
    <w:rsid w:val="002159F0"/>
    <w:rsid w:val="00263EC0"/>
    <w:rsid w:val="002642C0"/>
    <w:rsid w:val="00270CB4"/>
    <w:rsid w:val="00274D9D"/>
    <w:rsid w:val="00281DA1"/>
    <w:rsid w:val="002A20D3"/>
    <w:rsid w:val="002D64DD"/>
    <w:rsid w:val="002D7670"/>
    <w:rsid w:val="00305C4B"/>
    <w:rsid w:val="003075AB"/>
    <w:rsid w:val="0030785C"/>
    <w:rsid w:val="0031244C"/>
    <w:rsid w:val="003143C5"/>
    <w:rsid w:val="0031773D"/>
    <w:rsid w:val="00347E95"/>
    <w:rsid w:val="00353BC5"/>
    <w:rsid w:val="00353E09"/>
    <w:rsid w:val="00361985"/>
    <w:rsid w:val="00397AC1"/>
    <w:rsid w:val="003A45C0"/>
    <w:rsid w:val="003A5570"/>
    <w:rsid w:val="003F7611"/>
    <w:rsid w:val="003F78D3"/>
    <w:rsid w:val="00476B7E"/>
    <w:rsid w:val="004A3F59"/>
    <w:rsid w:val="004B310A"/>
    <w:rsid w:val="004F1711"/>
    <w:rsid w:val="00502B3C"/>
    <w:rsid w:val="005D7DCC"/>
    <w:rsid w:val="005F3FF6"/>
    <w:rsid w:val="00605AD5"/>
    <w:rsid w:val="0061433C"/>
    <w:rsid w:val="00654BF6"/>
    <w:rsid w:val="006618B4"/>
    <w:rsid w:val="006739CF"/>
    <w:rsid w:val="006E63E3"/>
    <w:rsid w:val="006F2CEF"/>
    <w:rsid w:val="006F6E22"/>
    <w:rsid w:val="00700F73"/>
    <w:rsid w:val="00702C6B"/>
    <w:rsid w:val="007576AA"/>
    <w:rsid w:val="0076340C"/>
    <w:rsid w:val="00766570"/>
    <w:rsid w:val="00797DD3"/>
    <w:rsid w:val="007C1869"/>
    <w:rsid w:val="007E742D"/>
    <w:rsid w:val="00834104"/>
    <w:rsid w:val="008478C0"/>
    <w:rsid w:val="00864936"/>
    <w:rsid w:val="008A3710"/>
    <w:rsid w:val="008A676F"/>
    <w:rsid w:val="008B064C"/>
    <w:rsid w:val="008D17BD"/>
    <w:rsid w:val="008E5E04"/>
    <w:rsid w:val="00917045"/>
    <w:rsid w:val="0095589C"/>
    <w:rsid w:val="00972B67"/>
    <w:rsid w:val="00972F1A"/>
    <w:rsid w:val="00974E84"/>
    <w:rsid w:val="009C2D3D"/>
    <w:rsid w:val="009C58EA"/>
    <w:rsid w:val="009D50A5"/>
    <w:rsid w:val="009F16C9"/>
    <w:rsid w:val="00A070DF"/>
    <w:rsid w:val="00A10439"/>
    <w:rsid w:val="00A14A43"/>
    <w:rsid w:val="00A329FA"/>
    <w:rsid w:val="00A813E0"/>
    <w:rsid w:val="00A82E99"/>
    <w:rsid w:val="00A96280"/>
    <w:rsid w:val="00A96C4F"/>
    <w:rsid w:val="00A976EF"/>
    <w:rsid w:val="00AC50B4"/>
    <w:rsid w:val="00B73492"/>
    <w:rsid w:val="00B806DD"/>
    <w:rsid w:val="00B96506"/>
    <w:rsid w:val="00BD711B"/>
    <w:rsid w:val="00C33970"/>
    <w:rsid w:val="00C5446D"/>
    <w:rsid w:val="00CA6B83"/>
    <w:rsid w:val="00CE4707"/>
    <w:rsid w:val="00D005A3"/>
    <w:rsid w:val="00D04AAD"/>
    <w:rsid w:val="00D04BB9"/>
    <w:rsid w:val="00D063DA"/>
    <w:rsid w:val="00D208BF"/>
    <w:rsid w:val="00D36C6C"/>
    <w:rsid w:val="00D409D3"/>
    <w:rsid w:val="00D633AB"/>
    <w:rsid w:val="00D7524E"/>
    <w:rsid w:val="00D75DF2"/>
    <w:rsid w:val="00D84FD7"/>
    <w:rsid w:val="00D92C47"/>
    <w:rsid w:val="00DB7509"/>
    <w:rsid w:val="00DE0A23"/>
    <w:rsid w:val="00E140F5"/>
    <w:rsid w:val="00E65439"/>
    <w:rsid w:val="00E722DD"/>
    <w:rsid w:val="00E7256C"/>
    <w:rsid w:val="00E82FC7"/>
    <w:rsid w:val="00E9624E"/>
    <w:rsid w:val="00EE2E42"/>
    <w:rsid w:val="00EE30B7"/>
    <w:rsid w:val="00F31FDC"/>
    <w:rsid w:val="00F349DF"/>
    <w:rsid w:val="00F47DB0"/>
    <w:rsid w:val="00F872BD"/>
    <w:rsid w:val="00FB4270"/>
    <w:rsid w:val="00FD180C"/>
    <w:rsid w:val="00FF00AC"/>
    <w:rsid w:val="00FF428A"/>
    <w:rsid w:val="00FF70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96508"/>
  <w15:chartTrackingRefBased/>
  <w15:docId w15:val="{419D685B-1406-A449-BD1C-0D495E5CF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0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0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6DD"/>
    <w:rPr>
      <w:rFonts w:eastAsiaTheme="majorEastAsia" w:cstheme="majorBidi"/>
      <w:color w:val="272727" w:themeColor="text1" w:themeTint="D8"/>
    </w:rPr>
  </w:style>
  <w:style w:type="paragraph" w:styleId="Title">
    <w:name w:val="Title"/>
    <w:basedOn w:val="Normal"/>
    <w:next w:val="Normal"/>
    <w:link w:val="TitleChar"/>
    <w:uiPriority w:val="10"/>
    <w:qFormat/>
    <w:rsid w:val="00B80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6DD"/>
    <w:pPr>
      <w:spacing w:before="160"/>
      <w:jc w:val="center"/>
    </w:pPr>
    <w:rPr>
      <w:i/>
      <w:iCs/>
      <w:color w:val="404040" w:themeColor="text1" w:themeTint="BF"/>
    </w:rPr>
  </w:style>
  <w:style w:type="character" w:customStyle="1" w:styleId="QuoteChar">
    <w:name w:val="Quote Char"/>
    <w:basedOn w:val="DefaultParagraphFont"/>
    <w:link w:val="Quote"/>
    <w:uiPriority w:val="29"/>
    <w:rsid w:val="00B806DD"/>
    <w:rPr>
      <w:i/>
      <w:iCs/>
      <w:color w:val="404040" w:themeColor="text1" w:themeTint="BF"/>
    </w:rPr>
  </w:style>
  <w:style w:type="paragraph" w:styleId="ListParagraph">
    <w:name w:val="List Paragraph"/>
    <w:basedOn w:val="Normal"/>
    <w:uiPriority w:val="34"/>
    <w:qFormat/>
    <w:rsid w:val="00B806DD"/>
    <w:pPr>
      <w:ind w:left="720"/>
      <w:contextualSpacing/>
    </w:pPr>
  </w:style>
  <w:style w:type="character" w:styleId="IntenseEmphasis">
    <w:name w:val="Intense Emphasis"/>
    <w:basedOn w:val="DefaultParagraphFont"/>
    <w:uiPriority w:val="21"/>
    <w:qFormat/>
    <w:rsid w:val="00B806DD"/>
    <w:rPr>
      <w:i/>
      <w:iCs/>
      <w:color w:val="0F4761" w:themeColor="accent1" w:themeShade="BF"/>
    </w:rPr>
  </w:style>
  <w:style w:type="paragraph" w:styleId="IntenseQuote">
    <w:name w:val="Intense Quote"/>
    <w:basedOn w:val="Normal"/>
    <w:next w:val="Normal"/>
    <w:link w:val="IntenseQuoteChar"/>
    <w:uiPriority w:val="30"/>
    <w:qFormat/>
    <w:rsid w:val="00B80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6DD"/>
    <w:rPr>
      <w:i/>
      <w:iCs/>
      <w:color w:val="0F4761" w:themeColor="accent1" w:themeShade="BF"/>
    </w:rPr>
  </w:style>
  <w:style w:type="character" w:styleId="IntenseReference">
    <w:name w:val="Intense Reference"/>
    <w:basedOn w:val="DefaultParagraphFont"/>
    <w:uiPriority w:val="32"/>
    <w:qFormat/>
    <w:rsid w:val="00B806DD"/>
    <w:rPr>
      <w:b/>
      <w:bCs/>
      <w:smallCaps/>
      <w:color w:val="0F4761" w:themeColor="accent1" w:themeShade="BF"/>
      <w:spacing w:val="5"/>
    </w:rPr>
  </w:style>
  <w:style w:type="paragraph" w:customStyle="1" w:styleId="p1">
    <w:name w:val="p1"/>
    <w:basedOn w:val="Normal"/>
    <w:rsid w:val="00F31FDC"/>
    <w:pPr>
      <w:spacing w:after="0" w:line="240" w:lineRule="auto"/>
    </w:pPr>
    <w:rPr>
      <w:rFonts w:ascii="Helvetica" w:eastAsia="Times New Roman" w:hAnsi="Helvetica" w:cs="Times New Roman"/>
      <w:color w:val="000000"/>
      <w:kern w:val="0"/>
      <w:sz w:val="18"/>
      <w:szCs w:val="18"/>
      <w:lang w:eastAsia="en-GB"/>
      <w14:ligatures w14:val="none"/>
    </w:rPr>
  </w:style>
  <w:style w:type="paragraph" w:styleId="NormalWeb">
    <w:name w:val="Normal (Web)"/>
    <w:basedOn w:val="Normal"/>
    <w:uiPriority w:val="99"/>
    <w:semiHidden/>
    <w:unhideWhenUsed/>
    <w:rsid w:val="001616A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ord">
    <w:name w:val="mord"/>
    <w:basedOn w:val="DefaultParagraphFont"/>
    <w:rsid w:val="00D36C6C"/>
  </w:style>
  <w:style w:type="character" w:customStyle="1" w:styleId="vlist-s">
    <w:name w:val="vlist-s"/>
    <w:basedOn w:val="DefaultParagraphFont"/>
    <w:rsid w:val="00D36C6C"/>
  </w:style>
  <w:style w:type="character" w:customStyle="1" w:styleId="mrel">
    <w:name w:val="mrel"/>
    <w:basedOn w:val="DefaultParagraphFont"/>
    <w:rsid w:val="00D36C6C"/>
  </w:style>
  <w:style w:type="character" w:styleId="PlaceholderText">
    <w:name w:val="Placeholder Text"/>
    <w:basedOn w:val="DefaultParagraphFont"/>
    <w:uiPriority w:val="99"/>
    <w:semiHidden/>
    <w:rsid w:val="00D36C6C"/>
    <w:rPr>
      <w:color w:val="666666"/>
    </w:rPr>
  </w:style>
  <w:style w:type="character" w:customStyle="1" w:styleId="apple-converted-space">
    <w:name w:val="apple-converted-space"/>
    <w:basedOn w:val="DefaultParagraphFont"/>
    <w:rsid w:val="00D36C6C"/>
  </w:style>
  <w:style w:type="character" w:styleId="Emphasis">
    <w:name w:val="Emphasis"/>
    <w:basedOn w:val="DefaultParagraphFont"/>
    <w:uiPriority w:val="20"/>
    <w:qFormat/>
    <w:rsid w:val="00D36C6C"/>
    <w:rPr>
      <w:i/>
      <w:iCs/>
    </w:rPr>
  </w:style>
  <w:style w:type="character" w:customStyle="1" w:styleId="s1">
    <w:name w:val="s1"/>
    <w:basedOn w:val="DefaultParagraphFont"/>
    <w:rsid w:val="00B73492"/>
    <w:rPr>
      <w:color w:val="0000FF"/>
    </w:rPr>
  </w:style>
  <w:style w:type="character" w:styleId="Hyperlink">
    <w:name w:val="Hyperlink"/>
    <w:basedOn w:val="DefaultParagraphFont"/>
    <w:uiPriority w:val="99"/>
    <w:unhideWhenUsed/>
    <w:rsid w:val="002A20D3"/>
    <w:rPr>
      <w:color w:val="467886" w:themeColor="hyperlink"/>
      <w:u w:val="single"/>
    </w:rPr>
  </w:style>
  <w:style w:type="character" w:styleId="UnresolvedMention">
    <w:name w:val="Unresolved Mention"/>
    <w:basedOn w:val="DefaultParagraphFont"/>
    <w:uiPriority w:val="99"/>
    <w:semiHidden/>
    <w:unhideWhenUsed/>
    <w:rsid w:val="002A20D3"/>
    <w:rPr>
      <w:color w:val="605E5C"/>
      <w:shd w:val="clear" w:color="auto" w:fill="E1DFDD"/>
    </w:rPr>
  </w:style>
  <w:style w:type="character" w:customStyle="1" w:styleId="bzpyqfadein">
    <w:name w:val="bz_pyq_fadein"/>
    <w:basedOn w:val="DefaultParagraphFont"/>
    <w:rsid w:val="00A329FA"/>
  </w:style>
  <w:style w:type="character" w:customStyle="1" w:styleId="s2">
    <w:name w:val="s2"/>
    <w:basedOn w:val="DefaultParagraphFont"/>
    <w:rsid w:val="003075AB"/>
    <w:rPr>
      <w:rFonts w:ascii="Helvetica" w:hAnsi="Helvetica" w:hint="default"/>
      <w:color w:val="FB0007"/>
      <w:sz w:val="12"/>
      <w:szCs w:val="12"/>
    </w:rPr>
  </w:style>
  <w:style w:type="character" w:styleId="Strong">
    <w:name w:val="Strong"/>
    <w:basedOn w:val="DefaultParagraphFont"/>
    <w:uiPriority w:val="22"/>
    <w:qFormat/>
    <w:rsid w:val="003143C5"/>
    <w:rPr>
      <w:b/>
      <w:bCs/>
    </w:rPr>
  </w:style>
  <w:style w:type="paragraph" w:customStyle="1" w:styleId="font-claude-response-body">
    <w:name w:val="font-claude-response-body"/>
    <w:basedOn w:val="Normal"/>
    <w:rsid w:val="00A96C4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972B6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EE2E4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CE470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CE4707"/>
    <w:pPr>
      <w:spacing w:before="120" w:after="0"/>
    </w:pPr>
    <w:rPr>
      <w:b/>
      <w:bCs/>
      <w:i/>
      <w:iCs/>
    </w:rPr>
  </w:style>
  <w:style w:type="paragraph" w:styleId="TOC2">
    <w:name w:val="toc 2"/>
    <w:basedOn w:val="Normal"/>
    <w:next w:val="Normal"/>
    <w:autoRedefine/>
    <w:uiPriority w:val="39"/>
    <w:semiHidden/>
    <w:unhideWhenUsed/>
    <w:rsid w:val="00CE4707"/>
    <w:pPr>
      <w:spacing w:before="120" w:after="0"/>
      <w:ind w:left="240"/>
    </w:pPr>
    <w:rPr>
      <w:b/>
      <w:bCs/>
      <w:sz w:val="22"/>
      <w:szCs w:val="22"/>
    </w:rPr>
  </w:style>
  <w:style w:type="paragraph" w:styleId="TOC3">
    <w:name w:val="toc 3"/>
    <w:basedOn w:val="Normal"/>
    <w:next w:val="Normal"/>
    <w:autoRedefine/>
    <w:uiPriority w:val="39"/>
    <w:semiHidden/>
    <w:unhideWhenUsed/>
    <w:rsid w:val="00CE4707"/>
    <w:pPr>
      <w:spacing w:after="0"/>
      <w:ind w:left="480"/>
    </w:pPr>
    <w:rPr>
      <w:sz w:val="20"/>
      <w:szCs w:val="20"/>
    </w:rPr>
  </w:style>
  <w:style w:type="paragraph" w:styleId="TOC4">
    <w:name w:val="toc 4"/>
    <w:basedOn w:val="Normal"/>
    <w:next w:val="Normal"/>
    <w:autoRedefine/>
    <w:uiPriority w:val="39"/>
    <w:semiHidden/>
    <w:unhideWhenUsed/>
    <w:rsid w:val="00CE4707"/>
    <w:pPr>
      <w:spacing w:after="0"/>
      <w:ind w:left="720"/>
    </w:pPr>
    <w:rPr>
      <w:sz w:val="20"/>
      <w:szCs w:val="20"/>
    </w:rPr>
  </w:style>
  <w:style w:type="paragraph" w:styleId="TOC5">
    <w:name w:val="toc 5"/>
    <w:basedOn w:val="Normal"/>
    <w:next w:val="Normal"/>
    <w:autoRedefine/>
    <w:uiPriority w:val="39"/>
    <w:semiHidden/>
    <w:unhideWhenUsed/>
    <w:rsid w:val="00CE4707"/>
    <w:pPr>
      <w:spacing w:after="0"/>
      <w:ind w:left="960"/>
    </w:pPr>
    <w:rPr>
      <w:sz w:val="20"/>
      <w:szCs w:val="20"/>
    </w:rPr>
  </w:style>
  <w:style w:type="paragraph" w:styleId="TOC6">
    <w:name w:val="toc 6"/>
    <w:basedOn w:val="Normal"/>
    <w:next w:val="Normal"/>
    <w:autoRedefine/>
    <w:uiPriority w:val="39"/>
    <w:semiHidden/>
    <w:unhideWhenUsed/>
    <w:rsid w:val="00CE4707"/>
    <w:pPr>
      <w:spacing w:after="0"/>
      <w:ind w:left="1200"/>
    </w:pPr>
    <w:rPr>
      <w:sz w:val="20"/>
      <w:szCs w:val="20"/>
    </w:rPr>
  </w:style>
  <w:style w:type="paragraph" w:styleId="TOC7">
    <w:name w:val="toc 7"/>
    <w:basedOn w:val="Normal"/>
    <w:next w:val="Normal"/>
    <w:autoRedefine/>
    <w:uiPriority w:val="39"/>
    <w:semiHidden/>
    <w:unhideWhenUsed/>
    <w:rsid w:val="00CE4707"/>
    <w:pPr>
      <w:spacing w:after="0"/>
      <w:ind w:left="1440"/>
    </w:pPr>
    <w:rPr>
      <w:sz w:val="20"/>
      <w:szCs w:val="20"/>
    </w:rPr>
  </w:style>
  <w:style w:type="paragraph" w:styleId="TOC8">
    <w:name w:val="toc 8"/>
    <w:basedOn w:val="Normal"/>
    <w:next w:val="Normal"/>
    <w:autoRedefine/>
    <w:uiPriority w:val="39"/>
    <w:semiHidden/>
    <w:unhideWhenUsed/>
    <w:rsid w:val="00CE4707"/>
    <w:pPr>
      <w:spacing w:after="0"/>
      <w:ind w:left="1680"/>
    </w:pPr>
    <w:rPr>
      <w:sz w:val="20"/>
      <w:szCs w:val="20"/>
    </w:rPr>
  </w:style>
  <w:style w:type="paragraph" w:styleId="TOC9">
    <w:name w:val="toc 9"/>
    <w:basedOn w:val="Normal"/>
    <w:next w:val="Normal"/>
    <w:autoRedefine/>
    <w:uiPriority w:val="39"/>
    <w:semiHidden/>
    <w:unhideWhenUsed/>
    <w:rsid w:val="00CE4707"/>
    <w:pPr>
      <w:spacing w:after="0"/>
      <w:ind w:left="1920"/>
    </w:pPr>
    <w:rPr>
      <w:sz w:val="20"/>
      <w:szCs w:val="20"/>
    </w:rPr>
  </w:style>
  <w:style w:type="paragraph" w:styleId="Footer">
    <w:name w:val="footer"/>
    <w:basedOn w:val="Normal"/>
    <w:link w:val="FooterChar"/>
    <w:uiPriority w:val="99"/>
    <w:unhideWhenUsed/>
    <w:rsid w:val="00A976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976EF"/>
  </w:style>
  <w:style w:type="character" w:styleId="PageNumber">
    <w:name w:val="page number"/>
    <w:basedOn w:val="DefaultParagraphFont"/>
    <w:uiPriority w:val="99"/>
    <w:semiHidden/>
    <w:unhideWhenUsed/>
    <w:rsid w:val="00A976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ankofengland.co.uk/monetary-policy-summary-and-minutes/2020/january-202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ankofengland.co.uk/monetary-policy-summary-and-minutes/2019/november-2019" TargetMode="External"/><Relationship Id="rId2" Type="http://schemas.openxmlformats.org/officeDocument/2006/relationships/numbering" Target="numbering.xml"/><Relationship Id="rId16" Type="http://schemas.openxmlformats.org/officeDocument/2006/relationships/hyperlink" Target="https://www.bankofengland.co.uk/monetary-policy-summary-and-minutes/2016/mpc-august-2016"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lseg.com/en/data-analytics/market-data/data-feeds/tick-history"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ankofengland.co.uk/inflation-report/1997/august-199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BC0EF-F8D5-6246-8F6E-189BA534E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32</Pages>
  <Words>7819</Words>
  <Characters>44574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Robert Noel</dc:creator>
  <cp:keywords/>
  <dc:description/>
  <cp:lastModifiedBy>Jack Robert Noel</cp:lastModifiedBy>
  <cp:revision>108</cp:revision>
  <dcterms:created xsi:type="dcterms:W3CDTF">2026-02-16T13:21:00Z</dcterms:created>
  <dcterms:modified xsi:type="dcterms:W3CDTF">2026-04-23T11:32:00Z</dcterms:modified>
</cp:coreProperties>
</file>