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Tradeable Assets for UK/EU Rates/FX Trade Expression Lab</w:t>
      </w:r>
    </w:p>
    <w:p>
      <w:pPr>
        <w:pStyle w:val="BodyText"/>
      </w:pPr>
      <w:r>
        <w:rPr>
          <w:b/>
          <w:bCs/>
        </w:rPr>
        <w:t xml:space="preserve">1. EUR/GBP spot</w:t>
      </w:r>
    </w:p>
    <w:p>
      <w:pPr>
        <w:numPr>
          <w:ilvl w:val="0"/>
          <w:numId w:val="1001"/>
        </w:numPr>
      </w:pPr>
      <w:r>
        <w:t xml:space="preserve">EUR/GBP = 0.86 means €1 buys £0.86.</w:t>
      </w:r>
    </w:p>
    <w:p>
      <w:pPr>
        <w:numPr>
          <w:ilvl w:val="0"/>
          <w:numId w:val="1001"/>
        </w:numPr>
      </w:pPr>
      <w:r>
        <w:t xml:space="preserve">If it falls to 0.84, sterling has strengthened against the euro.</w:t>
      </w:r>
    </w:p>
    <w:p>
      <w:pPr>
        <w:numPr>
          <w:ilvl w:val="0"/>
          <w:numId w:val="1001"/>
        </w:numPr>
      </w:pPr>
      <w:r>
        <w:t xml:space="preserve">If it rises to 0.88, sterling has weakened.</w:t>
      </w:r>
    </w:p>
    <w:p>
      <w:pPr>
        <w:pStyle w:val="FirstParagraph"/>
      </w:pPr>
      <w:r>
        <w:t xml:space="preserve">Mechanisms</w:t>
      </w:r>
    </w:p>
    <w:p>
      <w:pPr>
        <w:numPr>
          <w:ilvl w:val="0"/>
          <w:numId w:val="1002"/>
        </w:numPr>
      </w:pPr>
      <w:r>
        <w:t xml:space="preserve">More hawkish BoE relative to ECB → higher expected UK interest rates relative to euro-area rates → interest bearing sterling assets offer better returns → investors buy GBP and sell EUR → GBP strengthens / EUR/GBP falls.</w:t>
      </w:r>
    </w:p>
    <w:p>
      <w:pPr>
        <w:numPr>
          <w:ilvl w:val="0"/>
          <w:numId w:val="1002"/>
        </w:numPr>
      </w:pPr>
      <w:r>
        <w:t xml:space="preserve">But higher UK rates → higher discount rates and weaker expected growth → UK equities may fall → foreign investors may reduce UK exposure and sell GBP → this can offset some of the currency strength.</w:t>
      </w:r>
    </w:p>
    <w:p>
      <w:pPr>
        <w:numPr>
          <w:ilvl w:val="0"/>
          <w:numId w:val="1002"/>
        </w:numPr>
      </w:pPr>
      <w:r>
        <w:t xml:space="preserve">Stronger UK growth relative to the euro area → better expected UK investment returns → greater demand for UK assets and GBP → GBP strengthens.</w:t>
      </w:r>
    </w:p>
    <w:p>
      <w:pPr>
        <w:numPr>
          <w:ilvl w:val="0"/>
          <w:numId w:val="1002"/>
        </w:numPr>
      </w:pPr>
      <w:r>
        <w:t xml:space="preserve">Higher UK inflation can have two effects:</w:t>
      </w:r>
    </w:p>
    <w:p>
      <w:pPr>
        <w:numPr>
          <w:ilvl w:val="1"/>
          <w:numId w:val="1003"/>
        </w:numPr>
      </w:pPr>
      <w:r>
        <w:t xml:space="preserve">persistent inflation → expectations of higher BoE rates → GBP may strengthen;</w:t>
      </w:r>
    </w:p>
    <w:p>
      <w:pPr>
        <w:numPr>
          <w:ilvl w:val="1"/>
          <w:numId w:val="1003"/>
        </w:numPr>
      </w:pPr>
      <w:r>
        <w:t xml:space="preserve">uncontrolled inflation or weaker policy credibility → lower real returns and greater economic risk → GBP may weaken.</w:t>
      </w:r>
    </w:p>
    <w:p>
      <w:pPr>
        <w:numPr>
          <w:ilvl w:val="0"/>
          <w:numId w:val="1002"/>
        </w:numPr>
      </w:pPr>
      <w:r>
        <w:t xml:space="preserve">More credible UK fiscal and political policy → lower perceived risk → stronger demand for UK assets → GBP strengthens.</w:t>
      </w:r>
    </w:p>
    <w:p>
      <w:pPr>
        <w:numPr>
          <w:ilvl w:val="0"/>
          <w:numId w:val="1002"/>
        </w:numPr>
      </w:pPr>
      <w:r>
        <w:t xml:space="preserve">Risk-on sentiment → investors are more willing to hold growth-sensitive currencies such as GBP → GBP may strengthen. Risk-off sentiment → investors often prefer safer or more liquid currencies → GBP may weaken.</w:t>
      </w:r>
    </w:p>
    <w:p>
      <w:pPr>
        <w:numPr>
          <w:ilvl w:val="0"/>
          <w:numId w:val="1002"/>
        </w:numPr>
      </w:pPr>
      <w:r>
        <w:t xml:space="preserve">Final FX move = combined effect of relative rates, growth, inflation, policy credibility, risk sentiment and global demand for GBP versus EUR.</w:t>
      </w:r>
    </w:p>
    <w:p>
      <w:pPr>
        <w:pStyle w:val="FirstParagraph"/>
      </w:pPr>
      <w:r>
        <w:t xml:space="preserve">Spot Rate role in the project: mainly a diagnostic rather than the preferred investable strategy.</w:t>
      </w:r>
    </w:p>
    <w:p>
      <w:pPr>
        <w:pStyle w:val="BodyText"/>
      </w:pPr>
      <w:r>
        <w:t xml:space="preserve">Useful to answer: “Did sterling strengthen or weaken when relative policy view changed?”</w:t>
      </w:r>
    </w:p>
    <w:p>
      <w:pPr>
        <w:pStyle w:val="BodyText"/>
      </w:pPr>
      <w:r>
        <w:rPr>
          <w:b/>
          <w:bCs/>
        </w:rPr>
        <w:t xml:space="preserve">2. One-month EUR/GBP FX forward</w:t>
      </w:r>
    </w:p>
    <w:p>
      <w:pPr>
        <w:pStyle w:val="BodyText"/>
      </w:pPr>
      <w:r>
        <w:t xml:space="preserve">Main tradable FX expression.</w:t>
      </w:r>
    </w:p>
    <w:p>
      <w:pPr>
        <w:pStyle w:val="BodyText"/>
      </w:pPr>
      <w:r>
        <w:t xml:space="preserve">Agreement today to exchange GBP and EUR at predetermined exchange rate in a month.</w:t>
      </w:r>
    </w:p>
    <w:p>
      <w:pPr>
        <w:pStyle w:val="BodyText"/>
      </w:pPr>
      <w:r>
        <w:t xml:space="preserve">For a relatively hawkish UK view, the project would take a position equivalent to: Long GBP forward and short EUR forward.</w:t>
      </w:r>
    </w:p>
    <w:p>
      <w:pPr>
        <w:pStyle w:val="BodyText"/>
      </w:pPr>
      <w:r>
        <w:t xml:space="preserve">The FX forward return has two main parts:</w:t>
      </w:r>
    </w:p>
    <w:p>
      <w:pPr>
        <w:numPr>
          <w:ilvl w:val="0"/>
          <w:numId w:val="1004"/>
        </w:numPr>
      </w:pPr>
      <w:r>
        <w:t xml:space="preserve">Spot movement: Sterling strengthens or weakens against the euro.</w:t>
      </w:r>
    </w:p>
    <w:p>
      <w:pPr>
        <w:numPr>
          <w:ilvl w:val="0"/>
          <w:numId w:val="1004"/>
        </w:numPr>
      </w:pPr>
      <w:r>
        <w:t xml:space="preserve">Carry/forward differential: Return associated with UK/euro-area rate differential.</w:t>
      </w:r>
    </w:p>
    <w:p>
      <w:pPr>
        <w:pStyle w:val="FirstParagraph"/>
      </w:pPr>
      <w:r>
        <w:t xml:space="preserve">So approximate long-GBP return: Sterling appreciation + UK rate minus euro-area rate</w:t>
      </w:r>
    </w:p>
    <w:p>
      <w:pPr>
        <w:pStyle w:val="BodyText"/>
      </w:pPr>
      <w:r>
        <w:t xml:space="preserve">Why use a forward instead of spot? Cleaner representation of a funded currency trade.</w:t>
      </w:r>
    </w:p>
    <w:p>
      <w:pPr>
        <w:pStyle w:val="BodyText"/>
      </w:pPr>
      <w:r>
        <w:rPr>
          <w:b/>
          <w:bCs/>
        </w:rPr>
        <w:t xml:space="preserve">3. UK–Germany two-year rates spread trade</w:t>
      </w:r>
    </w:p>
    <w:p>
      <w:pPr>
        <w:pStyle w:val="BodyText"/>
      </w:pPr>
      <w:r>
        <w:t xml:space="preserve">Most direct rates expression of near-term monetary-policy divergence.</w:t>
      </w:r>
    </w:p>
    <w:p>
      <w:pPr>
        <w:pStyle w:val="BodyText"/>
      </w:pPr>
      <w:r>
        <w:t xml:space="preserve">The trade uses exposure to approximately two-year UK and German interest rates.</w:t>
      </w:r>
    </w:p>
    <w:p>
      <w:pPr>
        <w:pStyle w:val="BodyText"/>
      </w:pPr>
      <w:r>
        <w:t xml:space="preserve">In practice, that exposure could be obtained through:</w:t>
      </w:r>
    </w:p>
    <w:p>
      <w:pPr>
        <w:numPr>
          <w:ilvl w:val="0"/>
          <w:numId w:val="1005"/>
        </w:numPr>
      </w:pPr>
      <w:r>
        <w:t xml:space="preserve">interest-rate futures;</w:t>
      </w:r>
    </w:p>
    <w:p>
      <w:pPr>
        <w:numPr>
          <w:ilvl w:val="0"/>
          <w:numId w:val="1005"/>
        </w:numPr>
      </w:pPr>
      <w:r>
        <w:t xml:space="preserve">government bonds;</w:t>
      </w:r>
    </w:p>
    <w:p>
      <w:pPr>
        <w:numPr>
          <w:ilvl w:val="0"/>
          <w:numId w:val="1005"/>
        </w:numPr>
      </w:pPr>
      <w:r>
        <w:t xml:space="preserve">OIS-based instruments;</w:t>
      </w:r>
    </w:p>
    <w:p>
      <w:pPr>
        <w:numPr>
          <w:ilvl w:val="0"/>
          <w:numId w:val="1005"/>
        </w:numPr>
      </w:pPr>
      <w:r>
        <w:t xml:space="preserve">swaps;</w:t>
      </w:r>
    </w:p>
    <w:p>
      <w:pPr>
        <w:numPr>
          <w:ilvl w:val="0"/>
          <w:numId w:val="1005"/>
        </w:numPr>
      </w:pPr>
      <w:r>
        <w:t xml:space="preserve">synthetic zero-coupon bond returns built from yield curves.</w:t>
      </w:r>
    </w:p>
    <w:p>
      <w:pPr>
        <w:pStyle w:val="FirstParagraph"/>
      </w:pPr>
      <w:r>
        <w:t xml:space="preserve">Suppose the view is: BoE will be more hawkish than the ECB.</w:t>
      </w:r>
    </w:p>
    <w:p>
      <w:pPr>
        <w:pStyle w:val="BodyText"/>
      </w:pPr>
      <w:r>
        <w:t xml:space="preserve">That would normally imply UK short-term yields rising relative to German short-term yields.</w:t>
      </w:r>
    </w:p>
    <w:p>
      <w:pPr>
        <w:pStyle w:val="BodyText"/>
      </w:pPr>
      <w:r>
        <w:t xml:space="preserve">The position would therefore be: Short UK 2-year duration, long German 2-year duration. (You benefit when UK two-year yields rise more than German two-year yields)</w:t>
      </w:r>
    </w:p>
    <w:p>
      <w:pPr>
        <w:pStyle w:val="BodyText"/>
      </w:pPr>
      <w:r>
        <w:t xml:space="preserve">Why “short duration”? Bond prices generally fall when yields rise.</w:t>
      </w:r>
    </w:p>
    <w:p>
      <w:pPr>
        <w:pStyle w:val="BodyText"/>
      </w:pPr>
      <w:r>
        <w:rPr>
          <w:b/>
          <w:bCs/>
        </w:rPr>
        <w:t xml:space="preserve">Why it may be especially useful:</w:t>
      </w:r>
      <w:r>
        <w:t xml:space="preserve"> </w:t>
      </w:r>
      <w:r>
        <w:t xml:space="preserve">Two-year rates are closely connected to expected central-bank policy over the next few years. However, two-year yields are not determined only by the next policy decision. They also include expectations about future growth, inflation and the full expected path of rates.</w:t>
      </w:r>
    </w:p>
    <w:p>
      <w:pPr>
        <w:pStyle w:val="BodyText"/>
      </w:pPr>
      <w:r>
        <w:rPr>
          <w:b/>
          <w:bCs/>
        </w:rPr>
        <w:t xml:space="preserve">4. UK–Germany ten-year rates spread trade</w:t>
      </w:r>
    </w:p>
    <w:p>
      <w:pPr>
        <w:pStyle w:val="BodyText"/>
      </w:pPr>
      <w:r>
        <w:t xml:space="preserve">This uses the same relative-value structure but at the longer end of the yield curve.</w:t>
      </w:r>
    </w:p>
    <w:p>
      <w:pPr>
        <w:pStyle w:val="BodyText"/>
      </w:pPr>
      <w:r>
        <w:t xml:space="preserve">What makes it different from the two-year trade?</w:t>
      </w:r>
    </w:p>
    <w:p>
      <w:pPr>
        <w:pStyle w:val="BodyText"/>
      </w:pPr>
      <w:r>
        <w:t xml:space="preserve">10-year yields are influenced by much more than near-term central-bank policy. They reflect:</w:t>
      </w:r>
    </w:p>
    <w:p>
      <w:pPr>
        <w:numPr>
          <w:ilvl w:val="0"/>
          <w:numId w:val="1006"/>
        </w:numPr>
      </w:pPr>
      <w:r>
        <w:t xml:space="preserve">expected future short-term rates;</w:t>
      </w:r>
    </w:p>
    <w:p>
      <w:pPr>
        <w:numPr>
          <w:ilvl w:val="0"/>
          <w:numId w:val="1006"/>
        </w:numPr>
      </w:pPr>
      <w:r>
        <w:t xml:space="preserve">long-term inflation expectations;</w:t>
      </w:r>
    </w:p>
    <w:p>
      <w:pPr>
        <w:numPr>
          <w:ilvl w:val="0"/>
          <w:numId w:val="1006"/>
        </w:numPr>
      </w:pPr>
      <w:r>
        <w:t xml:space="preserve">government borrowing and bond supply;</w:t>
      </w:r>
    </w:p>
    <w:p>
      <w:pPr>
        <w:numPr>
          <w:ilvl w:val="0"/>
          <w:numId w:val="1006"/>
        </w:numPr>
      </w:pPr>
      <w:r>
        <w:t xml:space="preserve">fiscal credibility;</w:t>
      </w:r>
    </w:p>
    <w:p>
      <w:pPr>
        <w:numPr>
          <w:ilvl w:val="0"/>
          <w:numId w:val="1006"/>
        </w:numPr>
      </w:pPr>
      <w:r>
        <w:t xml:space="preserve">term premia;</w:t>
      </w:r>
    </w:p>
    <w:p>
      <w:pPr>
        <w:numPr>
          <w:ilvl w:val="0"/>
          <w:numId w:val="1006"/>
        </w:numPr>
      </w:pPr>
      <w:r>
        <w:t xml:space="preserve">economic growth;</w:t>
      </w:r>
    </w:p>
    <w:p>
      <w:pPr>
        <w:numPr>
          <w:ilvl w:val="0"/>
          <w:numId w:val="1006"/>
        </w:numPr>
      </w:pPr>
      <w:r>
        <w:t xml:space="preserve">safe-haven demand;</w:t>
      </w:r>
    </w:p>
    <w:p>
      <w:pPr>
        <w:numPr>
          <w:ilvl w:val="0"/>
          <w:numId w:val="1006"/>
        </w:numPr>
      </w:pPr>
      <w:r>
        <w:t xml:space="preserve">pension and institutional demand.</w:t>
      </w:r>
    </w:p>
    <w:p>
      <w:pPr>
        <w:pStyle w:val="FirstParagraph"/>
      </w:pPr>
      <w:r>
        <w:t xml:space="preserve">Therefore, the ten-year spread may be a less “pure” monetary-policy trade.</w:t>
      </w:r>
    </w:p>
    <w:p>
      <w:pPr>
        <w:pStyle w:val="BodyText"/>
      </w:pPr>
      <w:r>
        <w:t xml:space="preserve">Why include it? To test whether relative policy views transmit beyond the short end.</w:t>
      </w:r>
    </w:p>
    <w:p>
      <w:pPr>
        <w:pStyle w:val="BodyText"/>
      </w:pPr>
      <w:r>
        <w:t xml:space="preserve">For example:</w:t>
      </w:r>
    </w:p>
    <w:p>
      <w:pPr>
        <w:numPr>
          <w:ilvl w:val="0"/>
          <w:numId w:val="1007"/>
        </w:numPr>
      </w:pPr>
      <w:r>
        <w:t xml:space="preserve">the two-year trade may respond more directly to relative policy-path repricing;</w:t>
      </w:r>
    </w:p>
    <w:p>
      <w:pPr>
        <w:numPr>
          <w:ilvl w:val="0"/>
          <w:numId w:val="1007"/>
        </w:numPr>
      </w:pPr>
      <w:r>
        <w:t xml:space="preserve">the ten-year trade may react more slowly;</w:t>
      </w:r>
    </w:p>
    <w:p>
      <w:pPr>
        <w:numPr>
          <w:ilvl w:val="0"/>
          <w:numId w:val="1007"/>
        </w:numPr>
      </w:pPr>
      <w:r>
        <w:t xml:space="preserve">or the ten-year trade may be dominated by fiscal and inflation concerns.</w:t>
      </w:r>
    </w:p>
    <w:p>
      <w:pPr>
        <w:pStyle w:val="FirstParagraph"/>
      </w:pPr>
      <w:r>
        <w:rPr>
          <w:b/>
          <w:bCs/>
        </w:rPr>
        <w:t xml:space="preserve">5. Relative curve trade</w:t>
      </w:r>
    </w:p>
    <w:p>
      <w:pPr>
        <w:pStyle w:val="BodyText"/>
      </w:pPr>
      <w:r>
        <w:t xml:space="preserve">Difference between short and long-term yields, rather than whether all yields rise or fall.</w:t>
      </w:r>
    </w:p>
    <w:p>
      <w:pPr>
        <w:pStyle w:val="BodyText"/>
      </w:pPr>
      <w:r>
        <w:t xml:space="preserve">The project considers using: 10-year yield − 2-year yield (2s10s slope)</w:t>
      </w:r>
    </w:p>
    <w:p>
      <w:pPr>
        <w:pStyle w:val="BodyText"/>
      </w:pPr>
      <w:r>
        <w:rPr>
          <w:b/>
          <w:bCs/>
        </w:rPr>
        <w:t xml:space="preserve">Steepener</w:t>
      </w:r>
    </w:p>
    <w:p>
      <w:pPr>
        <w:pStyle w:val="BodyText"/>
      </w:pPr>
      <w:r>
        <w:t xml:space="preserve">A curve steepens when the gap between long-term and short-term yields increases. e.g.:</w:t>
      </w:r>
    </w:p>
    <w:p>
      <w:pPr>
        <w:numPr>
          <w:ilvl w:val="0"/>
          <w:numId w:val="1008"/>
        </w:numPr>
      </w:pPr>
      <w:r>
        <w:t xml:space="preserve">ten-year yields rise more than two-year yields;</w:t>
      </w:r>
    </w:p>
    <w:p>
      <w:pPr>
        <w:numPr>
          <w:ilvl w:val="0"/>
          <w:numId w:val="1008"/>
        </w:numPr>
      </w:pPr>
      <w:r>
        <w:t xml:space="preserve">two-year yields fall more than ten-year yields;</w:t>
      </w:r>
    </w:p>
    <w:p>
      <w:pPr>
        <w:numPr>
          <w:ilvl w:val="0"/>
          <w:numId w:val="1008"/>
        </w:numPr>
      </w:pPr>
      <w:r>
        <w:t xml:space="preserve">or both.</w:t>
      </w:r>
    </w:p>
    <w:p>
      <w:pPr>
        <w:pStyle w:val="FirstParagraph"/>
      </w:pPr>
      <w:r>
        <w:rPr>
          <w:b/>
          <w:bCs/>
        </w:rPr>
        <w:t xml:space="preserve">Flattener</w:t>
      </w:r>
    </w:p>
    <w:p>
      <w:pPr>
        <w:pStyle w:val="BodyText"/>
      </w:pPr>
      <w:r>
        <w:t xml:space="preserve">A curve flattens when the gap decreases. e.g.:</w:t>
      </w:r>
    </w:p>
    <w:p>
      <w:pPr>
        <w:numPr>
          <w:ilvl w:val="0"/>
          <w:numId w:val="1009"/>
        </w:numPr>
      </w:pPr>
      <w:r>
        <w:t xml:space="preserve">two-year yields rise more than ten-year yields;</w:t>
      </w:r>
    </w:p>
    <w:p>
      <w:pPr>
        <w:numPr>
          <w:ilvl w:val="0"/>
          <w:numId w:val="1009"/>
        </w:numPr>
      </w:pPr>
      <w:r>
        <w:t xml:space="preserve">ten-year yields fall more than two-year yields;</w:t>
      </w:r>
    </w:p>
    <w:p>
      <w:pPr>
        <w:numPr>
          <w:ilvl w:val="0"/>
          <w:numId w:val="1009"/>
        </w:numPr>
      </w:pPr>
      <w:r>
        <w:t xml:space="preserve">or both.</w:t>
      </w:r>
    </w:p>
    <w:p>
      <w:pPr>
        <w:pStyle w:val="FirstParagraph"/>
      </w:pPr>
      <w:r>
        <w:rPr>
          <w:b/>
          <w:bCs/>
        </w:rPr>
        <w:t xml:space="preserve">What would the project trade?</w:t>
      </w:r>
    </w:p>
    <w:p>
      <w:pPr>
        <w:pStyle w:val="BodyText"/>
      </w:pPr>
      <w:r>
        <w:t xml:space="preserve">One possible construction would compare:</w:t>
      </w:r>
    </w:p>
    <w:p>
      <w:pPr>
        <w:numPr>
          <w:ilvl w:val="0"/>
          <w:numId w:val="1010"/>
        </w:numPr>
      </w:pPr>
      <w:r>
        <w:t xml:space="preserve">the UK 2s10s curve;</w:t>
      </w:r>
    </w:p>
    <w:p>
      <w:pPr>
        <w:numPr>
          <w:ilvl w:val="0"/>
          <w:numId w:val="1010"/>
        </w:numPr>
      </w:pPr>
      <w:r>
        <w:t xml:space="preserve">the German 2s10s curve.</w:t>
      </w:r>
    </w:p>
    <w:p>
      <w:pPr>
        <w:pStyle w:val="FirstParagraph"/>
      </w:pPr>
      <w:r>
        <w:t xml:space="preserve">For example, the strategy might take a position that benefits if the UK curve flattens more than the German curve following relatively hawkish UK policy.</w:t>
      </w:r>
    </w:p>
    <w:p>
      <w:pPr>
        <w:pStyle w:val="BodyText"/>
      </w:pPr>
      <w:r>
        <w:t xml:space="preserve">That could involve combinations such as: Short UK 2Y, Long UK 10Y vs Long German 2Y, Short German 10Y</w:t>
      </w:r>
    </w:p>
    <w:p>
      <w:pPr>
        <w:pStyle w:val="BodyText"/>
      </w:pPr>
      <w:r>
        <w:t xml:space="preserve">This relative UK-flattener hypothesis is documented in the Project Bible; production approval remains OPEN under D011, pending data, economic review and numerical sign tests.</w:t>
      </w:r>
    </w:p>
    <w:p>
      <w:pPr>
        <w:pStyle w:val="BodyText"/>
      </w:pPr>
      <w:r>
        <w:t xml:space="preserve">A relatively hawkish Bank of England does not always produce the same curve reaction:</w:t>
      </w:r>
    </w:p>
    <w:p>
      <w:pPr>
        <w:numPr>
          <w:ilvl w:val="0"/>
          <w:numId w:val="1011"/>
        </w:numPr>
      </w:pPr>
      <w:r>
        <w:t xml:space="preserve">the two-year yield might rise sharply, flattening the curve;</w:t>
      </w:r>
    </w:p>
    <w:p>
      <w:pPr>
        <w:numPr>
          <w:ilvl w:val="0"/>
          <w:numId w:val="1011"/>
        </w:numPr>
      </w:pPr>
      <w:r>
        <w:t xml:space="preserve">inflation or fiscal concerns might instead push up long-term yields;</w:t>
      </w:r>
    </w:p>
    <w:p>
      <w:pPr>
        <w:numPr>
          <w:ilvl w:val="0"/>
          <w:numId w:val="1011"/>
        </w:numPr>
      </w:pPr>
      <w:r>
        <w:t xml:space="preserve">the market might believe aggressive tightening will cause a recession, lowering longer-term yields.</w:t>
      </w:r>
    </w:p>
    <w:p>
      <w:pPr>
        <w:pStyle w:val="FirstParagraph"/>
      </w:pPr>
      <w:r>
        <w:t xml:space="preserve">The curve trade should therefore only be included once we can explain:</w:t>
      </w:r>
    </w:p>
    <w:p>
      <w:pPr>
        <w:pStyle w:val="BodyText"/>
      </w:pPr>
      <w:r>
        <w:t xml:space="preserve">“Why should this specific UK-versus-Germany curve position profit from our particular macro view?”</w:t>
      </w:r>
    </w:p>
    <w:p>
      <w:pPr>
        <w:pStyle w:val="BodyText"/>
      </w:pPr>
      <w:r>
        <w:rPr>
          <w:b/>
          <w:bCs/>
        </w:rPr>
        <w:t xml:space="preserve">6. Cross-asset rates–FX basket</w:t>
      </w:r>
    </w:p>
    <w:p>
      <w:pPr>
        <w:pStyle w:val="BodyText"/>
      </w:pPr>
      <w:r>
        <w:t xml:space="preserve">Portfolio combining several of the previous expressions. e.g.:</w:t>
      </w:r>
    </w:p>
    <w:p>
      <w:pPr>
        <w:numPr>
          <w:ilvl w:val="0"/>
          <w:numId w:val="1012"/>
        </w:numPr>
      </w:pPr>
      <w:r>
        <w:t xml:space="preserve">the EUR/GBP forward;</w:t>
      </w:r>
    </w:p>
    <w:p>
      <w:pPr>
        <w:numPr>
          <w:ilvl w:val="0"/>
          <w:numId w:val="1012"/>
        </w:numPr>
      </w:pPr>
      <w:r>
        <w:t xml:space="preserve">the UK–Germany two-year rates trade;</w:t>
      </w:r>
    </w:p>
    <w:p>
      <w:pPr>
        <w:numPr>
          <w:ilvl w:val="0"/>
          <w:numId w:val="1012"/>
        </w:numPr>
      </w:pPr>
      <w:r>
        <w:t xml:space="preserve">possibly the ten-year or curve trade.</w:t>
      </w:r>
    </w:p>
    <w:p>
      <w:pPr>
        <w:pStyle w:val="FirstParagraph"/>
      </w:pPr>
      <w:r>
        <w:t xml:space="preserve">Suppose the signal says the UK is becoming more hawkish relative to the euro area.</w:t>
      </w:r>
    </w:p>
    <w:p>
      <w:pPr>
        <w:pStyle w:val="BodyText"/>
      </w:pPr>
      <w:r>
        <w:t xml:space="preserve">The basket might take:</w:t>
      </w:r>
    </w:p>
    <w:p>
      <w:pPr>
        <w:numPr>
          <w:ilvl w:val="0"/>
          <w:numId w:val="1013"/>
        </w:numPr>
      </w:pPr>
      <w:r>
        <w:t xml:space="preserve">long GBP versus EUR;</w:t>
      </w:r>
    </w:p>
    <w:p>
      <w:pPr>
        <w:numPr>
          <w:ilvl w:val="0"/>
          <w:numId w:val="1013"/>
        </w:numPr>
      </w:pPr>
      <w:r>
        <w:t xml:space="preserve">short UK two-year duration versus long German two-year duration;</w:t>
      </w:r>
    </w:p>
    <w:p>
      <w:pPr>
        <w:numPr>
          <w:ilvl w:val="0"/>
          <w:numId w:val="1013"/>
        </w:numPr>
      </w:pPr>
      <w:r>
        <w:t xml:space="preserve">possibly another approved relative-rates position.</w:t>
      </w:r>
    </w:p>
    <w:p>
      <w:pPr>
        <w:pStyle w:val="FirstParagraph"/>
      </w:pPr>
      <w:r>
        <w:rPr>
          <w:b/>
          <w:bCs/>
        </w:rPr>
        <w:t xml:space="preserve">Why combine them?</w:t>
      </w:r>
    </w:p>
    <w:p>
      <w:pPr>
        <w:pStyle w:val="BodyText"/>
      </w:pPr>
      <w:r>
        <w:t xml:space="preserve">The same macro view can transmit through different channels.</w:t>
      </w:r>
    </w:p>
    <w:p>
      <w:pPr>
        <w:numPr>
          <w:ilvl w:val="0"/>
          <w:numId w:val="1014"/>
        </w:numPr>
      </w:pPr>
      <w:r>
        <w:t xml:space="preserve">the rates trade may react immediately to a policy announcement;</w:t>
      </w:r>
    </w:p>
    <w:p>
      <w:pPr>
        <w:numPr>
          <w:ilvl w:val="0"/>
          <w:numId w:val="1014"/>
        </w:numPr>
      </w:pPr>
      <w:r>
        <w:t xml:space="preserve">sterling may initially fall because the announcement also signals weak UK growth;</w:t>
      </w:r>
    </w:p>
    <w:p>
      <w:pPr>
        <w:numPr>
          <w:ilvl w:val="0"/>
          <w:numId w:val="1014"/>
        </w:numPr>
      </w:pPr>
      <w:r>
        <w:t xml:space="preserve">FX may then adjust over a longer horizon;</w:t>
      </w:r>
    </w:p>
    <w:p>
      <w:pPr>
        <w:numPr>
          <w:ilvl w:val="0"/>
          <w:numId w:val="1014"/>
        </w:numPr>
      </w:pPr>
      <w:r>
        <w:t xml:space="preserve">the rates position may reverse after the initial repricing.</w:t>
      </w:r>
    </w:p>
    <w:p>
      <w:pPr>
        <w:pStyle w:val="FirstParagraph"/>
      </w:pPr>
      <w:r>
        <w:t xml:space="preserve">Combining the expressions may produce a more stable result than relying on one market.</w:t>
      </w:r>
    </w:p>
    <w:p>
      <w:pPr>
        <w:pStyle w:val="BodyText"/>
      </w:pPr>
      <w:r>
        <w:t xml:space="preserve">Equal-risk rather than equal-money weighting</w:t>
      </w:r>
    </w:p>
    <w:p>
      <w:pPr>
        <w:numPr>
          <w:ilvl w:val="0"/>
          <w:numId w:val="1015"/>
        </w:numPr>
      </w:pPr>
      <w:r>
        <w:t xml:space="preserve">The project recommends an </w:t>
      </w:r>
      <w:r>
        <w:rPr>
          <w:b/>
          <w:bCs/>
        </w:rPr>
        <w:t xml:space="preserve">equal-risk basket</w:t>
      </w:r>
      <w:r>
        <w:t xml:space="preserve">. That means you do not simply put £1 into each position. Instead, each component is scaled so it contributes approximately the same amount of expected volatility.</w:t>
      </w:r>
    </w:p>
    <w:p>
      <w:pPr>
        <w:numPr>
          <w:ilvl w:val="0"/>
          <w:numId w:val="1015"/>
        </w:numPr>
      </w:pPr>
      <w:r>
        <w:t xml:space="preserve">For example:</w:t>
      </w:r>
    </w:p>
    <w:p>
      <w:pPr>
        <w:numPr>
          <w:ilvl w:val="1"/>
          <w:numId w:val="1016"/>
        </w:numPr>
      </w:pPr>
      <w:r>
        <w:t xml:space="preserve">FX component expected volatility: 8%</w:t>
      </w:r>
    </w:p>
    <w:p>
      <w:pPr>
        <w:numPr>
          <w:ilvl w:val="1"/>
          <w:numId w:val="1016"/>
        </w:numPr>
      </w:pPr>
      <w:r>
        <w:t xml:space="preserve">Rates component expected volatility: 4%</w:t>
      </w:r>
    </w:p>
    <w:p>
      <w:pPr>
        <w:numPr>
          <w:ilvl w:val="1"/>
          <w:numId w:val="1016"/>
        </w:numPr>
      </w:pPr>
      <w:r>
        <w:t xml:space="preserve">Larger notional for rates trade to place it on a comparable risk basis.</w:t>
      </w:r>
    </w:p>
    <w:p>
      <w:pPr>
        <w:pStyle w:val="FirstParagraph"/>
      </w:pPr>
      <w:r>
        <w:t xml:space="preserve">The basket asks whether diversification:</w:t>
      </w:r>
    </w:p>
    <w:p>
      <w:pPr>
        <w:numPr>
          <w:ilvl w:val="0"/>
          <w:numId w:val="1017"/>
        </w:numPr>
      </w:pPr>
      <w:r>
        <w:t xml:space="preserve">reduces drawdowns;</w:t>
      </w:r>
    </w:p>
    <w:p>
      <w:pPr>
        <w:numPr>
          <w:ilvl w:val="0"/>
          <w:numId w:val="1017"/>
        </w:numPr>
      </w:pPr>
      <w:r>
        <w:t xml:space="preserve">makes performance more stable across regimes;</w:t>
      </w:r>
    </w:p>
    <w:p>
      <w:pPr>
        <w:numPr>
          <w:ilvl w:val="0"/>
          <w:numId w:val="1017"/>
        </w:numPr>
      </w:pPr>
      <w:r>
        <w:t xml:space="preserve">reduces dependence on one instrument;</w:t>
      </w:r>
    </w:p>
    <w:p>
      <w:pPr>
        <w:numPr>
          <w:ilvl w:val="0"/>
          <w:numId w:val="1017"/>
        </w:numPr>
      </w:pPr>
      <w:r>
        <w:t xml:space="preserve">sacrifices some peak return but improves reliability.</w:t>
      </w:r>
    </w:p>
    <w:p>
      <w:pPr>
        <w:pStyle w:val="FirstParagraph"/>
      </w:pPr>
      <w:r>
        <w:t xml:space="preserve">The clearest way to understand the project is: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FX forward:</w:t>
      </w:r>
      <w:r>
        <w:t xml:space="preserve"> Does the policy view show up in sterling?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Two-year spread:</w:t>
      </w:r>
      <w:r>
        <w:t xml:space="preserve"> Does it show up directly in expected central-bank rates?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Ten-year spread:</w:t>
      </w:r>
      <w:r>
        <w:t xml:space="preserve"> Does it extend into long-term yields?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Curve trade:</w:t>
      </w:r>
      <w:r>
        <w:t xml:space="preserve"> Does it change the shape of expected rates differently across countries?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Basket:</w:t>
      </w:r>
      <w:r>
        <w:t xml:space="preserve"> Can several imperfect expressions be combined into a more stable one?</w:t>
      </w:r>
    </w:p>
    <w:p>
      <w:pPr>
        <w:pStyle w:val="FirstParagraph"/>
      </w:pPr>
      <w:r>
        <w:rPr>
          <w:b/>
          <w:bCs/>
        </w:rPr>
        <w:t xml:space="preserve">Implementation Hierarchy: What instruments could sit underneath rates trades?</w:t>
      </w:r>
    </w:p>
    <w:p>
      <w:pPr>
        <w:pStyle w:val="BodyText"/>
      </w:pPr>
      <w:r>
        <w:t xml:space="preserve">“UK–Germany two-year spread” describes the economic exposure but still need to choose the instrument used to create that exposure.</w:t>
      </w:r>
    </w:p>
    <w:p>
      <w:pPr>
        <w:pStyle w:val="BodyText"/>
      </w:pPr>
      <w:r>
        <w:rPr>
          <w:b/>
          <w:bCs/>
        </w:rPr>
        <w:t xml:space="preserve">Futures or observed total-return instruments</w:t>
      </w:r>
    </w:p>
    <w:p>
      <w:pPr>
        <w:numPr>
          <w:ilvl w:val="0"/>
          <w:numId w:val="1019"/>
        </w:numPr>
      </w:pPr>
      <w:r>
        <w:t xml:space="preserve">UK government bond futures;</w:t>
      </w:r>
    </w:p>
    <w:p>
      <w:pPr>
        <w:numPr>
          <w:ilvl w:val="0"/>
          <w:numId w:val="1019"/>
        </w:numPr>
      </w:pPr>
      <w:r>
        <w:t xml:space="preserve">German government bond futures;</w:t>
      </w:r>
    </w:p>
    <w:p>
      <w:pPr>
        <w:numPr>
          <w:ilvl w:val="0"/>
          <w:numId w:val="1019"/>
        </w:numPr>
      </w:pPr>
      <w:r>
        <w:t xml:space="preserve">short-term interest-rate futures;</w:t>
      </w:r>
    </w:p>
    <w:p>
      <w:pPr>
        <w:numPr>
          <w:ilvl w:val="0"/>
          <w:numId w:val="1019"/>
        </w:numPr>
      </w:pPr>
      <w:r>
        <w:t xml:space="preserve">bond or rates total-return indices.</w:t>
      </w:r>
    </w:p>
    <w:p>
      <w:pPr>
        <w:pStyle w:val="FirstParagraph"/>
      </w:pPr>
      <w:r>
        <w:t xml:space="preserve">These are the closest to real historical tradable returns. However, matching exact two-year and ten-year exposures may not always be straightforward. Some futures contracts represent a basket of eligible bonds rather than one constant-maturity yield.</w:t>
      </w:r>
    </w:p>
    <w:p>
      <w:pPr>
        <w:pStyle w:val="BodyText"/>
      </w:pPr>
      <w:r>
        <w:rPr>
          <w:b/>
          <w:bCs/>
        </w:rPr>
        <w:t xml:space="preserve">Synthetic zero-coupon bonds</w:t>
      </w:r>
    </w:p>
    <w:p>
      <w:pPr>
        <w:pStyle w:val="BodyText"/>
      </w:pPr>
      <w:r>
        <w:t xml:space="preserve">For example, using a two-year zero rate, you can estimate the value of a theoretical bond that pays £1 in two years. As time moves forward:</w:t>
      </w:r>
    </w:p>
    <w:p>
      <w:pPr>
        <w:numPr>
          <w:ilvl w:val="0"/>
          <w:numId w:val="1020"/>
        </w:numPr>
      </w:pPr>
      <w:r>
        <w:t xml:space="preserve">its maturity shortens;</w:t>
      </w:r>
    </w:p>
    <w:p>
      <w:pPr>
        <w:numPr>
          <w:ilvl w:val="0"/>
          <w:numId w:val="1020"/>
        </w:numPr>
      </w:pPr>
      <w:r>
        <w:t xml:space="preserve">its yield changes;</w:t>
      </w:r>
    </w:p>
    <w:p>
      <w:pPr>
        <w:numPr>
          <w:ilvl w:val="0"/>
          <w:numId w:val="1020"/>
        </w:numPr>
      </w:pPr>
      <w:r>
        <w:t xml:space="preserve">its theoretical price changes;</w:t>
      </w:r>
    </w:p>
    <w:p>
      <w:pPr>
        <w:numPr>
          <w:ilvl w:val="0"/>
          <w:numId w:val="1020"/>
        </w:numPr>
      </w:pPr>
      <w:r>
        <w:t xml:space="preserve">carry and roll-down can be captured.</w:t>
      </w:r>
    </w:p>
    <w:p>
      <w:pPr>
        <w:pStyle w:val="FirstParagraph"/>
      </w:pPr>
      <w:r>
        <w:t xml:space="preserve">This produces a more economically meaningful return than simply using the daily change in a yield. But it is still a:</w:t>
      </w:r>
      <w:r>
        <w:t xml:space="preserve"> </w:t>
      </w:r>
      <w:r>
        <w:rPr>
          <w:b/>
          <w:bCs/>
        </w:rPr>
        <w:t xml:space="preserve">Modelled synthetic return</w:t>
      </w:r>
      <w:r>
        <w:t xml:space="preserve">, not a directly observed market trade.</w:t>
      </w:r>
    </w:p>
    <w:p>
      <w:pPr>
        <w:pStyle w:val="BodyText"/>
      </w:pPr>
      <w:r>
        <w:rPr>
          <w:b/>
          <w:bCs/>
        </w:rPr>
        <w:t xml:space="preserve">DV01 approximation</w:t>
      </w:r>
    </w:p>
    <w:p>
      <w:pPr>
        <w:pStyle w:val="BodyText"/>
      </w:pPr>
      <w:r>
        <w:t xml:space="preserve">A diagnostic approximation checks P&amp;L signs from yield changes:</w:t>
      </w:r>
    </w:p>
    <w:p>
      <w:pPr>
        <w:pStyle w:val="BodyText"/>
      </w:pPr>
      <w:r>
        <w:t xml:space="preserve">Approximate P&amp;L ≈ −Duration × change in yield</w:t>
      </w:r>
    </w:p>
    <w:p>
      <w:pPr>
        <w:pStyle w:val="BodyText"/>
      </w:pPr>
      <w:r>
        <w:t xml:space="preserve">or using DV01: Approximate P&amp;L ≈ position DV01 × yield movement</w:t>
      </w:r>
    </w:p>
    <w:p>
      <w:pPr>
        <w:pStyle w:val="BodyText"/>
      </w:pPr>
      <w:r>
        <w:t xml:space="preserve">Should be labelled as an </w:t>
      </w:r>
      <w:r>
        <w:rPr>
          <w:b/>
          <w:bCs/>
        </w:rPr>
        <w:t xml:space="preserve">approximate P&amp;L proxy</w:t>
      </w:r>
      <w:r>
        <w:t xml:space="preserve">, not a directly tradable return. </w:t>
      </w:r>
    </w:p>
    <w:p>
      <w:pPr>
        <w:pStyle w:val="BodyText"/>
      </w:pPr>
      <w:r>
        <w:rPr>
          <w:b/>
          <w:bCs/>
        </w:rPr>
        <w:t xml:space="preserve">Why the two legs must be DV01-balanced</w:t>
      </w:r>
    </w:p>
    <w:p>
      <w:pPr>
        <w:pStyle w:val="BodyText"/>
      </w:pPr>
      <w:r>
        <w:t xml:space="preserve">Cannot compare £1m UK bond position with £1m German bond position purely by notional value. The two bonds may have different: durations; coupons; yields; price sensitivity.</w:t>
      </w:r>
    </w:p>
    <w:p>
      <w:pPr>
        <w:pStyle w:val="BodyText"/>
      </w:pPr>
      <w:r>
        <w:t xml:space="preserve">Instead, choose quantities so a one-basis-point move has approx. same effect on each leg:</w:t>
      </w:r>
    </w:p>
    <w:p>
      <w:pPr>
        <w:pStyle w:val="BodyText"/>
      </w:pPr>
      <w:r>
        <w:t xml:space="preserve">UK position DV01 = German position DV01</w:t>
      </w:r>
    </w:p>
    <w:p>
      <w:pPr>
        <w:pStyle w:val="BodyText"/>
      </w:pPr>
      <w:r>
        <w:t xml:space="preserve">That means the trade profits from relative movement between UK and German yields, rather than accidentally being dominated by whichever bond has greater interest-rate sensitivity.</w:t>
      </w:r>
    </w:p>
    <w:p>
      <w:pPr>
        <w:pStyle w:val="BodyText"/>
      </w:pPr>
      <w:r>
        <w:rPr>
          <w:b/>
          <w:bCs/>
        </w:rPr>
        <w:t xml:space="preserve">Simple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position for hawkish UK 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thing being traded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EUR/GBP spot</w:t>
            </w:r>
          </w:p>
        </w:tc>
        <w:tc>
          <w:tcPr/>
          <w:p>
            <w:pPr>
              <w:pStyle w:val="Compact"/>
            </w:pPr>
            <w:r>
              <w:t xml:space="preserve">Long GBP, short EUR</w:t>
            </w:r>
          </w:p>
        </w:tc>
        <w:tc>
          <w:tcPr/>
          <w:p>
            <w:pPr>
              <w:pStyle w:val="Compact"/>
            </w:pPr>
            <w:r>
              <w:t xml:space="preserve">Immediate currency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1M FX forward</w:t>
            </w:r>
          </w:p>
        </w:tc>
        <w:tc>
          <w:tcPr/>
          <w:p>
            <w:pPr>
              <w:pStyle w:val="Compact"/>
            </w:pPr>
            <w:r>
              <w:t xml:space="preserve">Long GBP forward, short EUR forward</w:t>
            </w:r>
          </w:p>
        </w:tc>
        <w:tc>
          <w:tcPr/>
          <w:p>
            <w:pPr>
              <w:pStyle w:val="Compact"/>
            </w:pPr>
            <w:r>
              <w:t xml:space="preserve">Currency movement plus carry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UK–Germany 2Y</w:t>
            </w:r>
          </w:p>
        </w:tc>
        <w:tc>
          <w:tcPr/>
          <w:p>
            <w:pPr>
              <w:pStyle w:val="Compact"/>
            </w:pPr>
            <w:r>
              <w:t xml:space="preserve">Short UK 2Y, long German 2Y</w:t>
            </w:r>
          </w:p>
        </w:tc>
        <w:tc>
          <w:tcPr/>
          <w:p>
            <w:pPr>
              <w:pStyle w:val="Compact"/>
            </w:pPr>
            <w:r>
              <w:t xml:space="preserve">Near-term policy-path divergence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UK–Germany 10Y</w:t>
            </w:r>
          </w:p>
        </w:tc>
        <w:tc>
          <w:tcPr/>
          <w:p>
            <w:pPr>
              <w:pStyle w:val="Compact"/>
            </w:pPr>
            <w:r>
              <w:t xml:space="preserve">Short UK 10Y, long German 10Y</w:t>
            </w:r>
          </w:p>
        </w:tc>
        <w:tc>
          <w:tcPr/>
          <w:p>
            <w:pPr>
              <w:pStyle w:val="Compact"/>
            </w:pPr>
            <w:r>
              <w:t xml:space="preserve">Longer-term rates divergence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curve</w:t>
            </w:r>
          </w:p>
        </w:tc>
        <w:tc>
          <w:tcPr/>
          <w:p>
            <w:pPr>
              <w:pStyle w:val="Compact"/>
            </w:pPr>
            <w:r>
              <w:t xml:space="preserve">UK curve position versus German curve position</w:t>
            </w:r>
          </w:p>
        </w:tc>
        <w:tc>
          <w:tcPr/>
          <w:p>
            <w:pPr>
              <w:pStyle w:val="Compact"/>
            </w:pPr>
            <w:r>
              <w:t xml:space="preserve">Different movement of short and long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Rates–FX basket</w:t>
            </w:r>
          </w:p>
        </w:tc>
        <w:tc>
          <w:tcPr/>
          <w:p>
            <w:pPr>
              <w:pStyle w:val="Compact"/>
            </w:pPr>
            <w:r>
              <w:t xml:space="preserve">Combination of approved trades</w:t>
            </w:r>
          </w:p>
        </w:tc>
        <w:tc>
          <w:tcPr/>
          <w:p>
            <w:pPr>
              <w:pStyle w:val="Compact"/>
            </w:pPr>
            <w:r>
              <w:t xml:space="preserve">Diversified expression of the same macro view</w:t>
            </w:r>
          </w:p>
        </w:tc>
      </w:tr>
    </w:tbl>
    <w:sectPr w:rsidR="00941AF3" w:rsidRPr="00941AF3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6B921A9"/>
    <w:multiLevelType w:val="multilevel"/>
    <w:tmpl w:val="345652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A406031"/>
    <w:multiLevelType w:val="hybridMultilevel"/>
    <w:tmpl w:val="8FE2325C"/>
    <w:lvl w:ilvl="0" w:tplc="7E9483D8">
      <w:start w:val="6"/>
      <w:numFmt w:val="bullet"/>
      <w:lvlText w:val="-"/>
      <w:lvlJc w:val="left"/>
      <w:pPr>
        <w:ind w:hanging="360" w:left="720"/>
      </w:pPr>
      <w:rPr>
        <w:rFonts w:ascii="Times New Roman" w:cs="Times New Roman" w:eastAsia="Times New Roman" w:hAnsi="Times New Roman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A8250DF"/>
    <w:multiLevelType w:val="multilevel"/>
    <w:tmpl w:val="99F4973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0E866D37"/>
    <w:multiLevelType w:val="multilevel"/>
    <w:tmpl w:val="6980E9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4984600"/>
    <w:multiLevelType w:val="multilevel"/>
    <w:tmpl w:val="3F9EFC8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091BF6"/>
    <w:multiLevelType w:val="multilevel"/>
    <w:tmpl w:val="DA5A38F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8F05E3E"/>
    <w:multiLevelType w:val="multilevel"/>
    <w:tmpl w:val="6A662A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1EAD1897"/>
    <w:multiLevelType w:val="multilevel"/>
    <w:tmpl w:val="0AF6FB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21FF6865"/>
    <w:multiLevelType w:val="multilevel"/>
    <w:tmpl w:val="639259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3734CF"/>
    <w:multiLevelType w:val="multilevel"/>
    <w:tmpl w:val="3EA0E80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5823095"/>
    <w:multiLevelType w:val="multilevel"/>
    <w:tmpl w:val="FDC8788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73266DC"/>
    <w:multiLevelType w:val="multilevel"/>
    <w:tmpl w:val="A9EA192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276D438E"/>
    <w:multiLevelType w:val="multilevel"/>
    <w:tmpl w:val="D9E238B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29B07E48"/>
    <w:multiLevelType w:val="multilevel"/>
    <w:tmpl w:val="B9EE948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2D79290B"/>
    <w:multiLevelType w:val="multilevel"/>
    <w:tmpl w:val="72F0FD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1E14184"/>
    <w:multiLevelType w:val="multilevel"/>
    <w:tmpl w:val="50AC53E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36325D37"/>
    <w:multiLevelType w:val="multilevel"/>
    <w:tmpl w:val="A5E4861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3894409F"/>
    <w:multiLevelType w:val="hybridMultilevel"/>
    <w:tmpl w:val="BF5CDE0E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B2E0D63"/>
    <w:multiLevelType w:val="multilevel"/>
    <w:tmpl w:val="8AE86E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3F76616A"/>
    <w:multiLevelType w:val="multilevel"/>
    <w:tmpl w:val="B400FD9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44A53056"/>
    <w:multiLevelType w:val="multilevel"/>
    <w:tmpl w:val="FE42DD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45CC78C4"/>
    <w:multiLevelType w:val="multilevel"/>
    <w:tmpl w:val="7FFC522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46F60298"/>
    <w:multiLevelType w:val="multilevel"/>
    <w:tmpl w:val="641CE4D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4B9138B1"/>
    <w:multiLevelType w:val="multilevel"/>
    <w:tmpl w:val="6046B2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522E67CF"/>
    <w:multiLevelType w:val="multilevel"/>
    <w:tmpl w:val="6E3A2C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55EA44B3"/>
    <w:multiLevelType w:val="multilevel"/>
    <w:tmpl w:val="9FF6175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6E06A84"/>
    <w:multiLevelType w:val="multilevel"/>
    <w:tmpl w:val="516AB2C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7">
    <w:nsid w:val="6C3E42AA"/>
    <w:multiLevelType w:val="multilevel"/>
    <w:tmpl w:val="47748AC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75267A16"/>
    <w:multiLevelType w:val="multilevel"/>
    <w:tmpl w:val="CC8EF0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7A637871"/>
    <w:multiLevelType w:val="multilevel"/>
    <w:tmpl w:val="B7D84EC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0">
    <w:nsid w:val="7B74738E"/>
    <w:multiLevelType w:val="multilevel"/>
    <w:tmpl w:val="B3AC4F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58978923" w:numId="1">
    <w:abstractNumId w:val="3"/>
  </w:num>
  <w:num w16cid:durableId="314727682" w:numId="2">
    <w:abstractNumId w:val="29"/>
  </w:num>
  <w:num w16cid:durableId="2048603207" w:numId="3">
    <w:abstractNumId w:val="26"/>
  </w:num>
  <w:num w16cid:durableId="2146967170" w:numId="4">
    <w:abstractNumId w:val="25"/>
  </w:num>
  <w:num w16cid:durableId="10306480" w:numId="5">
    <w:abstractNumId w:val="6"/>
  </w:num>
  <w:num w16cid:durableId="500659409" w:numId="6">
    <w:abstractNumId w:val="30"/>
  </w:num>
  <w:num w16cid:durableId="1238318916" w:numId="7">
    <w:abstractNumId w:val="21"/>
  </w:num>
  <w:num w16cid:durableId="484860236" w:numId="8">
    <w:abstractNumId w:val="23"/>
  </w:num>
  <w:num w16cid:durableId="633291233" w:numId="9">
    <w:abstractNumId w:val="27"/>
  </w:num>
  <w:num w16cid:durableId="1534341007" w:numId="10">
    <w:abstractNumId w:val="13"/>
  </w:num>
  <w:num w16cid:durableId="618414372" w:numId="11">
    <w:abstractNumId w:val="18"/>
  </w:num>
  <w:num w16cid:durableId="1245451770" w:numId="12">
    <w:abstractNumId w:val="24"/>
  </w:num>
  <w:num w16cid:durableId="1944654164" w:numId="13">
    <w:abstractNumId w:val="20"/>
  </w:num>
  <w:num w16cid:durableId="868032497" w:numId="14">
    <w:abstractNumId w:val="0"/>
  </w:num>
  <w:num w16cid:durableId="644244089" w:numId="15">
    <w:abstractNumId w:val="8"/>
  </w:num>
  <w:num w16cid:durableId="739868007" w:numId="16">
    <w:abstractNumId w:val="5"/>
  </w:num>
  <w:num w16cid:durableId="1562784442" w:numId="17">
    <w:abstractNumId w:val="7"/>
  </w:num>
  <w:num w16cid:durableId="1843813402" w:numId="18">
    <w:abstractNumId w:val="16"/>
  </w:num>
  <w:num w16cid:durableId="674840836" w:numId="19">
    <w:abstractNumId w:val="4"/>
  </w:num>
  <w:num w16cid:durableId="1641959453" w:numId="20">
    <w:abstractNumId w:val="2"/>
  </w:num>
  <w:num w16cid:durableId="1852447379" w:numId="21">
    <w:abstractNumId w:val="19"/>
  </w:num>
  <w:num w16cid:durableId="1139879619" w:numId="22">
    <w:abstractNumId w:val="14"/>
  </w:num>
  <w:num w16cid:durableId="574164035" w:numId="23">
    <w:abstractNumId w:val="9"/>
  </w:num>
  <w:num w16cid:durableId="1801920748" w:numId="24">
    <w:abstractNumId w:val="10"/>
  </w:num>
  <w:num w16cid:durableId="670528303" w:numId="25">
    <w:abstractNumId w:val="15"/>
  </w:num>
  <w:num w16cid:durableId="100490210" w:numId="26">
    <w:abstractNumId w:val="12"/>
  </w:num>
  <w:num w16cid:durableId="1061486648" w:numId="27">
    <w:abstractNumId w:val="22"/>
  </w:num>
  <w:num w16cid:durableId="1605073802" w:numId="28">
    <w:abstractNumId w:val="17"/>
  </w:num>
  <w:num w16cid:durableId="1415081218" w:numId="29">
    <w:abstractNumId w:val="11"/>
  </w:num>
  <w:num w16cid:durableId="1752384434" w:numId="30">
    <w:abstractNumId w:val="28"/>
  </w:num>
  <w:num w16cid:durableId="54361397" w:numId="3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F3"/>
    <w:rsid w:val="000933C5"/>
    <w:rsid w:val="001432FA"/>
    <w:rsid w:val="00144BEB"/>
    <w:rsid w:val="0042588F"/>
    <w:rsid w:val="005C0A49"/>
    <w:rsid w:val="006315B6"/>
    <w:rsid w:val="006555BE"/>
    <w:rsid w:val="006D7D5B"/>
    <w:rsid w:val="00745F8E"/>
    <w:rsid w:val="007D0B4C"/>
    <w:rsid w:val="0087081D"/>
    <w:rsid w:val="00941AF3"/>
    <w:rsid w:val="009C58EA"/>
    <w:rsid w:val="00AF4562"/>
    <w:rsid w:val="00DC7FB2"/>
    <w:rsid w:val="00DD08B2"/>
    <w:rsid w:val="00DD3C16"/>
    <w:rsid w:val="00E24271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GB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941AF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941AF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941AF3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941AF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941AF3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941AF3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941AF3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941AF3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941AF3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941AF3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1AF3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1AF3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941AF3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941AF3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941AF3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941AF3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941AF3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941AF3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941AF3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1AF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941AF3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941AF3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941AF3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941AF3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941AF3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941AF3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41AF3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41AF3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941AF3"/>
    <w:rPr>
      <w:b/>
      <w:bCs/>
      <w:smallCaps/>
      <w:color w:themeColor="accent1" w:themeShade="BF" w:val="0F4761"/>
      <w:spacing w:val="5"/>
    </w:rPr>
  </w:style>
  <w:style w:styleId="NormalWeb" w:type="paragraph">
    <w:name w:val="Normal (Web)"/>
    <w:basedOn w:val="Normal"/>
    <w:uiPriority w:val="99"/>
    <w:unhideWhenUsed/>
    <w:rsid w:val="00941AF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  <w14:ligatures w14:val="none"/>
    </w:rPr>
  </w:style>
  <w:style w:styleId="Strong" w:type="character">
    <w:name w:val="Strong"/>
    <w:basedOn w:val="DefaultParagraphFont"/>
    <w:uiPriority w:val="22"/>
    <w:qFormat/>
    <w:rsid w:val="00941AF3"/>
    <w:rPr>
      <w:b/>
      <w:bCs/>
    </w:rPr>
  </w:style>
  <w:style w:customStyle="1" w:styleId="apple-converted-space" w:type="character">
    <w:name w:val="apple-converted-space"/>
    <w:basedOn w:val="DefaultParagraphFont"/>
    <w:rsid w:val="00941AF3"/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941AF3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GB"/>
      <w14:ligatures w14:val="none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941AF3"/>
    <w:rPr>
      <w:rFonts w:ascii="Courier New" w:cs="Courier New" w:eastAsia="Times New Roman" w:hAnsi="Courier New"/>
      <w:kern w:val="0"/>
      <w:sz w:val="20"/>
      <w:szCs w:val="20"/>
      <w:lang w:eastAsia="en-GB"/>
      <w14:ligatures w14:val="none"/>
    </w:rPr>
  </w:style>
  <w:style w:styleId="HTMLCode" w:type="character">
    <w:name w:val="HTML Code"/>
    <w:basedOn w:val="DefaultParagraphFont"/>
    <w:uiPriority w:val="99"/>
    <w:semiHidden/>
    <w:unhideWhenUsed/>
    <w:rsid w:val="00941AF3"/>
    <w:rPr>
      <w:rFonts w:ascii="Courier New" w:cs="Courier New" w:eastAsia="Times New Roman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Tradable Assets for the UK/EU Rates-FX Trade Expression Lab</dc:title>
  <dc:creator>Project team</dc:creator>
  <cp:keywords/>
  <dcterms:created xsi:type="dcterms:W3CDTF">2026-10-06T14:51:31Z</dcterms:created>
  <dcterms:modified xsi:type="dcterms:W3CDTF">2026-10-06T00:00:00Z</dcterms:modified>
  <dc:subject>Weekly OIS policy repricing and trade-expression comparison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