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92D560" w14:textId="77777777" w:rsidR="004668C3" w:rsidRDefault="00000000">
      <w:pPr>
        <w:spacing w:before="1080" w:after="100"/>
        <w:jc w:val="center"/>
      </w:pPr>
      <w:r>
        <w:rPr>
          <w:b/>
          <w:color w:val="0F6B78"/>
          <w:sz w:val="22"/>
        </w:rPr>
        <w:t>UK/EU RATES–FX TRADE EXPRESSION LAB</w:t>
      </w:r>
    </w:p>
    <w:p w14:paraId="43109493" w14:textId="77777777" w:rsidR="004668C3" w:rsidRDefault="00000000">
      <w:pPr>
        <w:spacing w:before="240" w:after="100"/>
        <w:jc w:val="center"/>
      </w:pPr>
      <w:r>
        <w:rPr>
          <w:rFonts w:ascii="Aptos Display" w:eastAsia="Aptos Display" w:hAnsi="Aptos Display"/>
          <w:b/>
          <w:color w:val="17365D"/>
          <w:sz w:val="54"/>
        </w:rPr>
        <w:t>Modules A, B and C</w:t>
      </w:r>
    </w:p>
    <w:p w14:paraId="6E2096ED" w14:textId="77777777" w:rsidR="004668C3" w:rsidRDefault="00000000">
      <w:pPr>
        <w:spacing w:after="100"/>
        <w:jc w:val="center"/>
      </w:pPr>
      <w:r>
        <w:rPr>
          <w:rFonts w:ascii="Aptos Display" w:eastAsia="Aptos Display" w:hAnsi="Aptos Display"/>
          <w:color w:val="2F5597"/>
          <w:sz w:val="30"/>
        </w:rPr>
        <w:t>Practical research specification and implementation guide</w:t>
      </w:r>
    </w:p>
    <w:tbl>
      <w:tblPr>
        <w:tblW w:w="0" w:type="auto"/>
        <w:jc w:val="center"/>
        <w:tblLayout w:type="fixed"/>
        <w:tblLook w:val="04A0" w:firstRow="1" w:lastRow="0" w:firstColumn="1" w:lastColumn="0" w:noHBand="0" w:noVBand="1"/>
      </w:tblPr>
      <w:tblGrid>
        <w:gridCol w:w="1584"/>
        <w:gridCol w:w="5184"/>
        <w:gridCol w:w="1584"/>
      </w:tblGrid>
      <w:tr w:rsidR="004668C3" w14:paraId="3E7FC299" w14:textId="77777777">
        <w:trPr>
          <w:cantSplit/>
          <w:jc w:val="center"/>
        </w:trPr>
        <w:tc>
          <w:tcPr>
            <w:tcW w:w="1584" w:type="dxa"/>
            <w:shd w:val="clear" w:color="auto" w:fill="0F6B78"/>
          </w:tcPr>
          <w:p w14:paraId="734B05E5" w14:textId="77777777" w:rsidR="004668C3" w:rsidRDefault="004668C3">
            <w:pPr>
              <w:spacing w:after="0"/>
            </w:pPr>
          </w:p>
        </w:tc>
        <w:tc>
          <w:tcPr>
            <w:tcW w:w="5184" w:type="dxa"/>
            <w:shd w:val="clear" w:color="auto" w:fill="17365D"/>
          </w:tcPr>
          <w:p w14:paraId="202E0F84" w14:textId="77777777" w:rsidR="004668C3" w:rsidRDefault="004668C3">
            <w:pPr>
              <w:spacing w:after="0"/>
            </w:pPr>
          </w:p>
        </w:tc>
        <w:tc>
          <w:tcPr>
            <w:tcW w:w="1584" w:type="dxa"/>
            <w:shd w:val="clear" w:color="auto" w:fill="0F6B78"/>
          </w:tcPr>
          <w:p w14:paraId="2215EF08" w14:textId="77777777" w:rsidR="004668C3" w:rsidRDefault="004668C3">
            <w:pPr>
              <w:spacing w:after="0"/>
            </w:pPr>
          </w:p>
        </w:tc>
      </w:tr>
    </w:tbl>
    <w:p w14:paraId="4659465E" w14:textId="77777777" w:rsidR="004668C3" w:rsidRDefault="00000000">
      <w:pPr>
        <w:spacing w:before="440" w:after="100"/>
        <w:jc w:val="center"/>
      </w:pPr>
      <w:r>
        <w:rPr>
          <w:i/>
          <w:color w:val="4F4F4F"/>
          <w:sz w:val="22"/>
        </w:rPr>
        <w:t>A concise companion to the Project Bible</w:t>
      </w:r>
    </w:p>
    <w:p w14:paraId="69ED555E" w14:textId="77777777" w:rsidR="004668C3" w:rsidRDefault="00000000">
      <w:pPr>
        <w:spacing w:after="100"/>
        <w:jc w:val="center"/>
      </w:pPr>
      <w:r>
        <w:t>Working clarification note  |  Revised 7 September 2026</w:t>
      </w:r>
    </w:p>
    <w:p w14:paraId="50F0F374" w14:textId="77777777" w:rsidR="004668C3" w:rsidRDefault="004668C3">
      <w:pPr>
        <w:spacing w:before="800" w:after="100"/>
      </w:pPr>
    </w:p>
    <w:tbl>
      <w:tblPr>
        <w:tblW w:w="0" w:type="auto"/>
        <w:jc w:val="center"/>
        <w:tblBorders>
          <w:top w:val="single" w:sz="4" w:space="0" w:color="AFC5D9"/>
          <w:left w:val="single" w:sz="4" w:space="0" w:color="AFC5D9"/>
          <w:bottom w:val="single" w:sz="4" w:space="0" w:color="AFC5D9"/>
          <w:right w:val="single" w:sz="4" w:space="0" w:color="AFC5D9"/>
          <w:insideH w:val="single" w:sz="4" w:space="0" w:color="AFC5D9"/>
          <w:insideV w:val="single" w:sz="4" w:space="0" w:color="AFC5D9"/>
        </w:tblBorders>
        <w:tblLayout w:type="fixed"/>
        <w:tblLook w:val="04A0" w:firstRow="1" w:lastRow="0" w:firstColumn="1" w:lastColumn="0" w:noHBand="0" w:noVBand="1"/>
      </w:tblPr>
      <w:tblGrid>
        <w:gridCol w:w="1800"/>
        <w:gridCol w:w="6768"/>
      </w:tblGrid>
      <w:tr w:rsidR="004668C3" w14:paraId="17CE15D1" w14:textId="77777777">
        <w:trPr>
          <w:cantSplit/>
          <w:jc w:val="center"/>
        </w:trPr>
        <w:tc>
          <w:tcPr>
            <w:tcW w:w="1800" w:type="dxa"/>
            <w:shd w:val="clear" w:color="auto" w:fill="17365D"/>
            <w:tcMar>
              <w:top w:w="130" w:type="dxa"/>
              <w:left w:w="150" w:type="dxa"/>
              <w:bottom w:w="130" w:type="dxa"/>
              <w:right w:w="150" w:type="dxa"/>
            </w:tcMar>
          </w:tcPr>
          <w:p w14:paraId="46B89018" w14:textId="77777777" w:rsidR="004668C3" w:rsidRDefault="00000000">
            <w:r>
              <w:rPr>
                <w:b/>
                <w:color w:val="FFFFFF"/>
                <w:sz w:val="21"/>
              </w:rPr>
              <w:t>Module A</w:t>
            </w:r>
          </w:p>
        </w:tc>
        <w:tc>
          <w:tcPr>
            <w:tcW w:w="6768" w:type="dxa"/>
            <w:shd w:val="clear" w:color="auto" w:fill="EEF4FA"/>
            <w:tcMar>
              <w:top w:w="130" w:type="dxa"/>
              <w:left w:w="150" w:type="dxa"/>
              <w:bottom w:w="130" w:type="dxa"/>
              <w:right w:w="150" w:type="dxa"/>
            </w:tcMar>
          </w:tcPr>
          <w:p w14:paraId="317CB23A" w14:textId="77777777" w:rsidR="004668C3" w:rsidRDefault="00000000">
            <w:r>
              <w:t>Builds a weekly, slow-moving relative-policy signal and applies it to several tradable expressions.</w:t>
            </w:r>
          </w:p>
        </w:tc>
      </w:tr>
      <w:tr w:rsidR="004668C3" w14:paraId="15DF4801" w14:textId="77777777">
        <w:trPr>
          <w:cantSplit/>
          <w:jc w:val="center"/>
        </w:trPr>
        <w:tc>
          <w:tcPr>
            <w:tcW w:w="1800" w:type="dxa"/>
            <w:shd w:val="clear" w:color="auto" w:fill="0F6B78"/>
            <w:tcMar>
              <w:top w:w="130" w:type="dxa"/>
              <w:left w:w="150" w:type="dxa"/>
              <w:bottom w:w="130" w:type="dxa"/>
              <w:right w:w="150" w:type="dxa"/>
            </w:tcMar>
          </w:tcPr>
          <w:p w14:paraId="5827B5FC" w14:textId="77777777" w:rsidR="004668C3" w:rsidRDefault="00000000">
            <w:r>
              <w:rPr>
                <w:b/>
                <w:color w:val="FFFFFF"/>
                <w:sz w:val="21"/>
              </w:rPr>
              <w:t>Module B</w:t>
            </w:r>
          </w:p>
        </w:tc>
        <w:tc>
          <w:tcPr>
            <w:tcW w:w="6768" w:type="dxa"/>
            <w:shd w:val="clear" w:color="auto" w:fill="EEF4FA"/>
            <w:tcMar>
              <w:top w:w="130" w:type="dxa"/>
              <w:left w:w="150" w:type="dxa"/>
              <w:bottom w:w="130" w:type="dxa"/>
              <w:right w:w="150" w:type="dxa"/>
            </w:tcMar>
          </w:tcPr>
          <w:p w14:paraId="067D7432" w14:textId="77777777" w:rsidR="004668C3" w:rsidRDefault="00000000">
            <w:r>
              <w:t>Uses identified BoE and ECB announcement surprises for event responses and implementable post-event tests.</w:t>
            </w:r>
          </w:p>
        </w:tc>
      </w:tr>
      <w:tr w:rsidR="004668C3" w14:paraId="2C5D02E7" w14:textId="77777777">
        <w:trPr>
          <w:cantSplit/>
          <w:jc w:val="center"/>
        </w:trPr>
        <w:tc>
          <w:tcPr>
            <w:tcW w:w="1800" w:type="dxa"/>
            <w:shd w:val="clear" w:color="auto" w:fill="2F5597"/>
            <w:tcMar>
              <w:top w:w="130" w:type="dxa"/>
              <w:left w:w="150" w:type="dxa"/>
              <w:bottom w:w="130" w:type="dxa"/>
              <w:right w:w="150" w:type="dxa"/>
            </w:tcMar>
          </w:tcPr>
          <w:p w14:paraId="31DA1DCA" w14:textId="77777777" w:rsidR="004668C3" w:rsidRDefault="00000000">
            <w:r>
              <w:rPr>
                <w:b/>
                <w:color w:val="FFFFFF"/>
                <w:sz w:val="21"/>
              </w:rPr>
              <w:t>Module C</w:t>
            </w:r>
          </w:p>
        </w:tc>
        <w:tc>
          <w:tcPr>
            <w:tcW w:w="6768" w:type="dxa"/>
            <w:shd w:val="clear" w:color="auto" w:fill="EEF4FA"/>
            <w:tcMar>
              <w:top w:w="130" w:type="dxa"/>
              <w:left w:w="150" w:type="dxa"/>
              <w:bottom w:w="130" w:type="dxa"/>
              <w:right w:w="150" w:type="dxa"/>
            </w:tcMar>
          </w:tcPr>
          <w:p w14:paraId="17B5968B" w14:textId="77777777" w:rsidR="004668C3" w:rsidRDefault="00000000">
            <w:r>
              <w:t>Compares, attributes and explains why the same macro view behaves differently across FX, rates, curves and a basket.</w:t>
            </w:r>
          </w:p>
        </w:tc>
      </w:tr>
    </w:tbl>
    <w:p w14:paraId="0745186F" w14:textId="77777777" w:rsidR="004668C3" w:rsidRDefault="00000000">
      <w:pPr>
        <w:spacing w:after="100"/>
      </w:pPr>
      <w:r>
        <w:br w:type="page"/>
      </w:r>
    </w:p>
    <w:p w14:paraId="00C71CDD" w14:textId="77777777" w:rsidR="004668C3" w:rsidRDefault="00000000">
      <w:pPr>
        <w:pStyle w:val="Heading1"/>
      </w:pPr>
      <w:r>
        <w:rPr>
          <w:rFonts w:ascii="Aptos" w:eastAsia="Aptos" w:hAnsi="Aptos"/>
          <w:b w:val="0"/>
        </w:rPr>
        <w:lastRenderedPageBreak/>
        <w:t>1. Executive summary</w:t>
      </w:r>
    </w:p>
    <w:tbl>
      <w:tblPr>
        <w:tblW w:w="0" w:type="auto"/>
        <w:jc w:val="center"/>
        <w:tblLook w:val="04A0" w:firstRow="1" w:lastRow="0" w:firstColumn="1" w:lastColumn="0" w:noHBand="0" w:noVBand="1"/>
      </w:tblPr>
      <w:tblGrid>
        <w:gridCol w:w="10166"/>
      </w:tblGrid>
      <w:tr w:rsidR="004668C3" w14:paraId="6FBAACE5" w14:textId="77777777">
        <w:trPr>
          <w:cantSplit/>
          <w:jc w:val="center"/>
        </w:trPr>
        <w:tc>
          <w:tcPr>
            <w:tcW w:w="10166" w:type="dxa"/>
            <w:shd w:val="clear" w:color="auto" w:fill="E7F2F3"/>
            <w:tcMar>
              <w:top w:w="130" w:type="dxa"/>
              <w:left w:w="170" w:type="dxa"/>
              <w:bottom w:w="130" w:type="dxa"/>
              <w:right w:w="170" w:type="dxa"/>
            </w:tcMar>
          </w:tcPr>
          <w:p w14:paraId="71AB0926" w14:textId="77777777" w:rsidR="004668C3" w:rsidRDefault="00000000">
            <w:pPr>
              <w:spacing w:after="60"/>
            </w:pPr>
            <w:r>
              <w:rPr>
                <w:b/>
                <w:color w:val="0F6B78"/>
                <w:sz w:val="21"/>
              </w:rPr>
              <w:t>The core distinction</w:t>
            </w:r>
          </w:p>
          <w:p w14:paraId="498ADFDB" w14:textId="77777777" w:rsidR="004668C3" w:rsidRDefault="00000000">
            <w:pPr>
              <w:spacing w:after="0"/>
            </w:pPr>
            <w:r>
              <w:t>The modules are not three separate trading systems. Module A and Module B generate two different forms of the same UK-versus-euro-area policy view; the approved FX and rates expressions are the markets in which that view is tested. Module C is the comparative and explanatory layer.</w:t>
            </w:r>
          </w:p>
        </w:tc>
      </w:tr>
    </w:tbl>
    <w:p w14:paraId="6787D350" w14:textId="77777777" w:rsidR="004668C3" w:rsidRDefault="004668C3">
      <w:pPr>
        <w:spacing w:after="100"/>
      </w:pPr>
    </w:p>
    <w:p w14:paraId="60C28325" w14:textId="77777777" w:rsidR="004668C3" w:rsidRDefault="00000000">
      <w:pPr>
        <w:spacing w:after="100"/>
      </w:pPr>
      <w:r>
        <w:t>The project asks which instrument provides the cleanest, most risk-efficient and most robust exposure when UK monetary-policy expectations become more hawkish or dovish relative to euro-area expectations. It therefore holds the economic theme broadly constant while changing the way the view is measured and expressed.</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1512"/>
        <w:gridCol w:w="3384"/>
        <w:gridCol w:w="2232"/>
        <w:gridCol w:w="3384"/>
      </w:tblGrid>
      <w:tr w:rsidR="004668C3" w14:paraId="4BD87350" w14:textId="77777777">
        <w:trPr>
          <w:cantSplit/>
          <w:tblHeader/>
          <w:jc w:val="center"/>
        </w:trPr>
        <w:tc>
          <w:tcPr>
            <w:tcW w:w="1512" w:type="dxa"/>
            <w:shd w:val="clear" w:color="auto" w:fill="17365D"/>
            <w:tcMar>
              <w:top w:w="90" w:type="dxa"/>
              <w:left w:w="110" w:type="dxa"/>
              <w:bottom w:w="90" w:type="dxa"/>
              <w:right w:w="110" w:type="dxa"/>
            </w:tcMar>
            <w:vAlign w:val="center"/>
          </w:tcPr>
          <w:p w14:paraId="212E0F8A" w14:textId="77777777" w:rsidR="004668C3" w:rsidRDefault="00000000">
            <w:r>
              <w:rPr>
                <w:b/>
                <w:color w:val="FFFFFF"/>
                <w:sz w:val="18"/>
              </w:rPr>
              <w:t>Module</w:t>
            </w:r>
          </w:p>
        </w:tc>
        <w:tc>
          <w:tcPr>
            <w:tcW w:w="3384" w:type="dxa"/>
            <w:shd w:val="clear" w:color="auto" w:fill="17365D"/>
            <w:tcMar>
              <w:top w:w="90" w:type="dxa"/>
              <w:left w:w="110" w:type="dxa"/>
              <w:bottom w:w="90" w:type="dxa"/>
              <w:right w:w="110" w:type="dxa"/>
            </w:tcMar>
            <w:vAlign w:val="center"/>
          </w:tcPr>
          <w:p w14:paraId="7F16E696" w14:textId="77777777" w:rsidR="004668C3" w:rsidRDefault="00000000">
            <w:r>
              <w:rPr>
                <w:b/>
                <w:color w:val="FFFFFF"/>
                <w:sz w:val="18"/>
              </w:rPr>
              <w:t>Economic object</w:t>
            </w:r>
          </w:p>
        </w:tc>
        <w:tc>
          <w:tcPr>
            <w:tcW w:w="2232" w:type="dxa"/>
            <w:shd w:val="clear" w:color="auto" w:fill="17365D"/>
            <w:tcMar>
              <w:top w:w="90" w:type="dxa"/>
              <w:left w:w="110" w:type="dxa"/>
              <w:bottom w:w="90" w:type="dxa"/>
              <w:right w:w="110" w:type="dxa"/>
            </w:tcMar>
            <w:vAlign w:val="center"/>
          </w:tcPr>
          <w:p w14:paraId="2C99174F" w14:textId="77777777" w:rsidR="004668C3" w:rsidRDefault="00000000">
            <w:r>
              <w:rPr>
                <w:b/>
                <w:color w:val="FFFFFF"/>
                <w:sz w:val="18"/>
              </w:rPr>
              <w:t>Timing</w:t>
            </w:r>
          </w:p>
        </w:tc>
        <w:tc>
          <w:tcPr>
            <w:tcW w:w="3384" w:type="dxa"/>
            <w:shd w:val="clear" w:color="auto" w:fill="17365D"/>
            <w:tcMar>
              <w:top w:w="90" w:type="dxa"/>
              <w:left w:w="110" w:type="dxa"/>
              <w:bottom w:w="90" w:type="dxa"/>
              <w:right w:w="110" w:type="dxa"/>
            </w:tcMar>
            <w:vAlign w:val="center"/>
          </w:tcPr>
          <w:p w14:paraId="081FED1F" w14:textId="77777777" w:rsidR="004668C3" w:rsidRDefault="00000000">
            <w:r>
              <w:rPr>
                <w:b/>
                <w:color w:val="FFFFFF"/>
                <w:sz w:val="18"/>
              </w:rPr>
              <w:t>Main output</w:t>
            </w:r>
          </w:p>
        </w:tc>
      </w:tr>
      <w:tr w:rsidR="004668C3" w14:paraId="441D8A03" w14:textId="77777777">
        <w:trPr>
          <w:cantSplit/>
          <w:jc w:val="center"/>
        </w:trPr>
        <w:tc>
          <w:tcPr>
            <w:tcW w:w="1512" w:type="dxa"/>
            <w:tcMar>
              <w:top w:w="90" w:type="dxa"/>
              <w:left w:w="110" w:type="dxa"/>
              <w:bottom w:w="90" w:type="dxa"/>
              <w:right w:w="110" w:type="dxa"/>
            </w:tcMar>
          </w:tcPr>
          <w:p w14:paraId="49CC8E9E" w14:textId="77777777" w:rsidR="004668C3" w:rsidRDefault="00000000">
            <w:pPr>
              <w:spacing w:after="0"/>
            </w:pPr>
            <w:r>
              <w:rPr>
                <w:sz w:val="18"/>
              </w:rPr>
              <w:t>A – slow divergence</w:t>
            </w:r>
          </w:p>
        </w:tc>
        <w:tc>
          <w:tcPr>
            <w:tcW w:w="3384" w:type="dxa"/>
            <w:tcMar>
              <w:top w:w="90" w:type="dxa"/>
              <w:left w:w="110" w:type="dxa"/>
              <w:bottom w:w="90" w:type="dxa"/>
              <w:right w:w="110" w:type="dxa"/>
            </w:tcMar>
          </w:tcPr>
          <w:p w14:paraId="478812F9" w14:textId="77777777" w:rsidR="004668C3" w:rsidRDefault="00000000">
            <w:pPr>
              <w:spacing w:after="0"/>
            </w:pPr>
            <w:r>
              <w:rPr>
                <w:sz w:val="18"/>
              </w:rPr>
              <w:t>Market-implied relative policy path and its recent repricing</w:t>
            </w:r>
          </w:p>
        </w:tc>
        <w:tc>
          <w:tcPr>
            <w:tcW w:w="2232" w:type="dxa"/>
            <w:tcMar>
              <w:top w:w="90" w:type="dxa"/>
              <w:left w:w="110" w:type="dxa"/>
              <w:bottom w:w="90" w:type="dxa"/>
              <w:right w:w="110" w:type="dxa"/>
            </w:tcMar>
          </w:tcPr>
          <w:p w14:paraId="4A4CB08D" w14:textId="77777777" w:rsidR="004668C3" w:rsidRDefault="00000000">
            <w:pPr>
              <w:spacing w:after="0"/>
            </w:pPr>
            <w:r>
              <w:rPr>
                <w:sz w:val="18"/>
              </w:rPr>
              <w:t>Weekly signal and rebalance; daily P&amp;L</w:t>
            </w:r>
          </w:p>
        </w:tc>
        <w:tc>
          <w:tcPr>
            <w:tcW w:w="3384" w:type="dxa"/>
            <w:tcMar>
              <w:top w:w="90" w:type="dxa"/>
              <w:left w:w="110" w:type="dxa"/>
              <w:bottom w:w="90" w:type="dxa"/>
              <w:right w:w="110" w:type="dxa"/>
            </w:tcMar>
          </w:tcPr>
          <w:p w14:paraId="7B1DDFBF" w14:textId="77777777" w:rsidR="004668C3" w:rsidRDefault="00000000">
            <w:pPr>
              <w:spacing w:after="0"/>
            </w:pPr>
            <w:r>
              <w:rPr>
                <w:sz w:val="18"/>
              </w:rPr>
              <w:t>Tradable multiweek strategies across FX, 2Y rates, 10Y rates, curve and basket</w:t>
            </w:r>
          </w:p>
        </w:tc>
      </w:tr>
      <w:tr w:rsidR="004668C3" w14:paraId="4D6F7CDB" w14:textId="77777777">
        <w:trPr>
          <w:cantSplit/>
          <w:jc w:val="center"/>
        </w:trPr>
        <w:tc>
          <w:tcPr>
            <w:tcW w:w="1512" w:type="dxa"/>
            <w:shd w:val="clear" w:color="auto" w:fill="EEF4FA"/>
            <w:tcMar>
              <w:top w:w="90" w:type="dxa"/>
              <w:left w:w="110" w:type="dxa"/>
              <w:bottom w:w="90" w:type="dxa"/>
              <w:right w:w="110" w:type="dxa"/>
            </w:tcMar>
          </w:tcPr>
          <w:p w14:paraId="3C447706" w14:textId="77777777" w:rsidR="004668C3" w:rsidRDefault="00000000">
            <w:pPr>
              <w:spacing w:after="0"/>
            </w:pPr>
            <w:r>
              <w:rPr>
                <w:sz w:val="18"/>
              </w:rPr>
              <w:t>B – event surprises</w:t>
            </w:r>
          </w:p>
        </w:tc>
        <w:tc>
          <w:tcPr>
            <w:tcW w:w="3384" w:type="dxa"/>
            <w:shd w:val="clear" w:color="auto" w:fill="EEF4FA"/>
            <w:tcMar>
              <w:top w:w="90" w:type="dxa"/>
              <w:left w:w="110" w:type="dxa"/>
              <w:bottom w:w="90" w:type="dxa"/>
              <w:right w:w="110" w:type="dxa"/>
            </w:tcMar>
          </w:tcPr>
          <w:p w14:paraId="2996E42B" w14:textId="77777777" w:rsidR="004668C3" w:rsidRDefault="00000000">
            <w:pPr>
              <w:spacing w:after="0"/>
            </w:pPr>
            <w:r>
              <w:rPr>
                <w:sz w:val="18"/>
              </w:rPr>
              <w:t>Identified unexpected BoE/ECB announcement shocks</w:t>
            </w:r>
          </w:p>
        </w:tc>
        <w:tc>
          <w:tcPr>
            <w:tcW w:w="2232" w:type="dxa"/>
            <w:shd w:val="clear" w:color="auto" w:fill="EEF4FA"/>
            <w:tcMar>
              <w:top w:w="90" w:type="dxa"/>
              <w:left w:w="110" w:type="dxa"/>
              <w:bottom w:w="90" w:type="dxa"/>
              <w:right w:w="110" w:type="dxa"/>
            </w:tcMar>
          </w:tcPr>
          <w:p w14:paraId="1CBC07EF" w14:textId="77777777" w:rsidR="004668C3" w:rsidRDefault="00000000">
            <w:pPr>
              <w:spacing w:after="0"/>
            </w:pPr>
            <w:r>
              <w:rPr>
                <w:sz w:val="18"/>
              </w:rPr>
              <w:t>Event-driven; immediate and post-event horizons</w:t>
            </w:r>
          </w:p>
        </w:tc>
        <w:tc>
          <w:tcPr>
            <w:tcW w:w="3384" w:type="dxa"/>
            <w:shd w:val="clear" w:color="auto" w:fill="EEF4FA"/>
            <w:tcMar>
              <w:top w:w="90" w:type="dxa"/>
              <w:left w:w="110" w:type="dxa"/>
              <w:bottom w:w="90" w:type="dxa"/>
              <w:right w:w="110" w:type="dxa"/>
            </w:tcMar>
          </w:tcPr>
          <w:p w14:paraId="74892C25" w14:textId="77777777" w:rsidR="004668C3" w:rsidRDefault="00000000">
            <w:pPr>
              <w:spacing w:after="0"/>
            </w:pPr>
            <w:r>
              <w:rPr>
                <w:sz w:val="18"/>
              </w:rPr>
              <w:t>Shock-response evidence plus implementable continuation/reversal strategies</w:t>
            </w:r>
          </w:p>
        </w:tc>
      </w:tr>
      <w:tr w:rsidR="004668C3" w14:paraId="597AE999" w14:textId="77777777">
        <w:trPr>
          <w:cantSplit/>
          <w:jc w:val="center"/>
        </w:trPr>
        <w:tc>
          <w:tcPr>
            <w:tcW w:w="1512" w:type="dxa"/>
            <w:tcMar>
              <w:top w:w="90" w:type="dxa"/>
              <w:left w:w="110" w:type="dxa"/>
              <w:bottom w:w="90" w:type="dxa"/>
              <w:right w:w="110" w:type="dxa"/>
            </w:tcMar>
          </w:tcPr>
          <w:p w14:paraId="4915A950" w14:textId="77777777" w:rsidR="004668C3" w:rsidRDefault="00000000">
            <w:pPr>
              <w:spacing w:after="0"/>
            </w:pPr>
            <w:r>
              <w:rPr>
                <w:sz w:val="18"/>
              </w:rPr>
              <w:t>C – comparison and attribution</w:t>
            </w:r>
          </w:p>
        </w:tc>
        <w:tc>
          <w:tcPr>
            <w:tcW w:w="3384" w:type="dxa"/>
            <w:tcMar>
              <w:top w:w="90" w:type="dxa"/>
              <w:left w:w="110" w:type="dxa"/>
              <w:bottom w:w="90" w:type="dxa"/>
              <w:right w:w="110" w:type="dxa"/>
            </w:tcMar>
          </w:tcPr>
          <w:p w14:paraId="5F0D2E0A" w14:textId="77777777" w:rsidR="004668C3" w:rsidRDefault="00000000">
            <w:pPr>
              <w:spacing w:after="0"/>
            </w:pPr>
            <w:r>
              <w:rPr>
                <w:sz w:val="18"/>
              </w:rPr>
              <w:t>Outputs from A and B</w:t>
            </w:r>
          </w:p>
        </w:tc>
        <w:tc>
          <w:tcPr>
            <w:tcW w:w="2232" w:type="dxa"/>
            <w:tcMar>
              <w:top w:w="90" w:type="dxa"/>
              <w:left w:w="110" w:type="dxa"/>
              <w:bottom w:w="90" w:type="dxa"/>
              <w:right w:w="110" w:type="dxa"/>
            </w:tcMar>
          </w:tcPr>
          <w:p w14:paraId="17AC1685" w14:textId="77777777" w:rsidR="004668C3" w:rsidRDefault="00000000">
            <w:pPr>
              <w:spacing w:after="0"/>
            </w:pPr>
            <w:r>
              <w:rPr>
                <w:sz w:val="18"/>
              </w:rPr>
              <w:t>Ex post analytical layer</w:t>
            </w:r>
          </w:p>
        </w:tc>
        <w:tc>
          <w:tcPr>
            <w:tcW w:w="3384" w:type="dxa"/>
            <w:tcMar>
              <w:top w:w="90" w:type="dxa"/>
              <w:left w:w="110" w:type="dxa"/>
              <w:bottom w:w="90" w:type="dxa"/>
              <w:right w:w="110" w:type="dxa"/>
            </w:tcMar>
          </w:tcPr>
          <w:p w14:paraId="3FE89A79" w14:textId="77777777" w:rsidR="004668C3" w:rsidRDefault="00000000">
            <w:pPr>
              <w:spacing w:after="0"/>
            </w:pPr>
            <w:r>
              <w:rPr>
                <w:sz w:val="18"/>
              </w:rPr>
              <w:t>Ranking, mechanism, attribution, robustness and conditional conclusions</w:t>
            </w:r>
          </w:p>
        </w:tc>
      </w:tr>
    </w:tbl>
    <w:p w14:paraId="5B608406" w14:textId="77777777" w:rsidR="004668C3" w:rsidRDefault="004668C3">
      <w:pPr>
        <w:spacing w:after="100"/>
      </w:pPr>
    </w:p>
    <w:p w14:paraId="20B5B42C" w14:textId="77777777" w:rsidR="004668C3" w:rsidRDefault="00000000">
      <w:pPr>
        <w:spacing w:after="100"/>
      </w:pPr>
      <w:r>
        <w:t>The recommended minimum viable project is deliberately narrow: use a transparent OIS-based repricing signal in Module A; apply it first to the one-month GBP/EUR forward and the UK–Germany two-year rates spread; analyse UKMPD and EA-MPD surprise factors in Module B; and use Module C to determine whether FX, short rates, long rates, curves or a diversified basket carry the intended view most cleanly.</w:t>
      </w:r>
    </w:p>
    <w:p w14:paraId="75CDB53A" w14:textId="77777777" w:rsidR="004668C3" w:rsidRDefault="00000000">
      <w:pPr>
        <w:pStyle w:val="Heading1"/>
      </w:pPr>
      <w:r>
        <w:rPr>
          <w:rFonts w:ascii="Aptos" w:eastAsia="Aptos" w:hAnsi="Aptos"/>
          <w:b w:val="0"/>
        </w:rPr>
        <w:t>2. Common architecture: five buckets that must not be confused</w:t>
      </w:r>
    </w:p>
    <w:p w14:paraId="6FAE6994" w14:textId="77777777" w:rsidR="004668C3" w:rsidRDefault="00000000">
      <w:pPr>
        <w:spacing w:after="100"/>
      </w:pPr>
      <w:r>
        <w:t>Most confusion disappears once every series or instrument is assigned to one of five buckets. A market rate can be useful information for the signal without being the asset whose return is booked, and a tradable asset can also be used as a diagnostic without belonging in the main strategy.</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1944"/>
        <w:gridCol w:w="2880"/>
        <w:gridCol w:w="5832"/>
      </w:tblGrid>
      <w:tr w:rsidR="004668C3" w14:paraId="6A2AE722" w14:textId="77777777">
        <w:trPr>
          <w:cantSplit/>
          <w:tblHeader/>
          <w:jc w:val="center"/>
        </w:trPr>
        <w:tc>
          <w:tcPr>
            <w:tcW w:w="1944" w:type="dxa"/>
            <w:shd w:val="clear" w:color="auto" w:fill="17365D"/>
            <w:tcMar>
              <w:top w:w="90" w:type="dxa"/>
              <w:left w:w="110" w:type="dxa"/>
              <w:bottom w:w="90" w:type="dxa"/>
              <w:right w:w="110" w:type="dxa"/>
            </w:tcMar>
            <w:vAlign w:val="center"/>
          </w:tcPr>
          <w:p w14:paraId="1115482E" w14:textId="77777777" w:rsidR="004668C3" w:rsidRDefault="00000000">
            <w:r>
              <w:rPr>
                <w:b/>
                <w:color w:val="FFFFFF"/>
                <w:sz w:val="17"/>
              </w:rPr>
              <w:t>Bucket</w:t>
            </w:r>
          </w:p>
        </w:tc>
        <w:tc>
          <w:tcPr>
            <w:tcW w:w="2880" w:type="dxa"/>
            <w:shd w:val="clear" w:color="auto" w:fill="17365D"/>
            <w:tcMar>
              <w:top w:w="90" w:type="dxa"/>
              <w:left w:w="110" w:type="dxa"/>
              <w:bottom w:w="90" w:type="dxa"/>
              <w:right w:w="110" w:type="dxa"/>
            </w:tcMar>
            <w:vAlign w:val="center"/>
          </w:tcPr>
          <w:p w14:paraId="787ED876" w14:textId="77777777" w:rsidR="004668C3" w:rsidRDefault="00000000">
            <w:r>
              <w:rPr>
                <w:b/>
                <w:color w:val="FFFFFF"/>
                <w:sz w:val="17"/>
              </w:rPr>
              <w:t>Question answered</w:t>
            </w:r>
          </w:p>
        </w:tc>
        <w:tc>
          <w:tcPr>
            <w:tcW w:w="5832" w:type="dxa"/>
            <w:shd w:val="clear" w:color="auto" w:fill="17365D"/>
            <w:tcMar>
              <w:top w:w="90" w:type="dxa"/>
              <w:left w:w="110" w:type="dxa"/>
              <w:bottom w:w="90" w:type="dxa"/>
              <w:right w:w="110" w:type="dxa"/>
            </w:tcMar>
            <w:vAlign w:val="center"/>
          </w:tcPr>
          <w:p w14:paraId="35431935" w14:textId="77777777" w:rsidR="004668C3" w:rsidRDefault="00000000">
            <w:r>
              <w:rPr>
                <w:b/>
                <w:color w:val="FFFFFF"/>
                <w:sz w:val="17"/>
              </w:rPr>
              <w:t>Recommended contents</w:t>
            </w:r>
          </w:p>
        </w:tc>
      </w:tr>
      <w:tr w:rsidR="004668C3" w14:paraId="4B8DFEFA" w14:textId="77777777">
        <w:trPr>
          <w:cantSplit/>
          <w:jc w:val="center"/>
        </w:trPr>
        <w:tc>
          <w:tcPr>
            <w:tcW w:w="1944" w:type="dxa"/>
            <w:tcMar>
              <w:top w:w="90" w:type="dxa"/>
              <w:left w:w="110" w:type="dxa"/>
              <w:bottom w:w="90" w:type="dxa"/>
              <w:right w:w="110" w:type="dxa"/>
            </w:tcMar>
          </w:tcPr>
          <w:p w14:paraId="0AF1FE3D" w14:textId="77777777" w:rsidR="004668C3" w:rsidRDefault="00000000">
            <w:pPr>
              <w:spacing w:after="0"/>
            </w:pPr>
            <w:r>
              <w:rPr>
                <w:sz w:val="17"/>
              </w:rPr>
              <w:t>1. Signal-definition data</w:t>
            </w:r>
          </w:p>
        </w:tc>
        <w:tc>
          <w:tcPr>
            <w:tcW w:w="2880" w:type="dxa"/>
            <w:tcMar>
              <w:top w:w="90" w:type="dxa"/>
              <w:left w:w="110" w:type="dxa"/>
              <w:bottom w:w="90" w:type="dxa"/>
              <w:right w:w="110" w:type="dxa"/>
            </w:tcMar>
          </w:tcPr>
          <w:p w14:paraId="00B31972" w14:textId="77777777" w:rsidR="004668C3" w:rsidRDefault="00000000">
            <w:pPr>
              <w:spacing w:after="0"/>
            </w:pPr>
            <w:r>
              <w:rPr>
                <w:sz w:val="17"/>
              </w:rPr>
              <w:t>What is the model’s economic view?</w:t>
            </w:r>
          </w:p>
        </w:tc>
        <w:tc>
          <w:tcPr>
            <w:tcW w:w="5832" w:type="dxa"/>
            <w:tcMar>
              <w:top w:w="90" w:type="dxa"/>
              <w:left w:w="110" w:type="dxa"/>
              <w:bottom w:w="90" w:type="dxa"/>
              <w:right w:w="110" w:type="dxa"/>
            </w:tcMar>
          </w:tcPr>
          <w:p w14:paraId="71E3CF20" w14:textId="77777777" w:rsidR="004668C3" w:rsidRDefault="00000000">
            <w:pPr>
              <w:spacing w:after="0"/>
            </w:pPr>
            <w:r>
              <w:rPr>
                <w:sz w:val="17"/>
              </w:rPr>
              <w:t>UK and euro-area OIS-implied policy paths; changes in their matched differential; UKMPD and EA-MPD surprise factors.</w:t>
            </w:r>
          </w:p>
        </w:tc>
      </w:tr>
      <w:tr w:rsidR="004668C3" w14:paraId="1B26438A" w14:textId="77777777">
        <w:trPr>
          <w:cantSplit/>
          <w:jc w:val="center"/>
        </w:trPr>
        <w:tc>
          <w:tcPr>
            <w:tcW w:w="1944" w:type="dxa"/>
            <w:shd w:val="clear" w:color="auto" w:fill="EEF4FA"/>
            <w:tcMar>
              <w:top w:w="90" w:type="dxa"/>
              <w:left w:w="110" w:type="dxa"/>
              <w:bottom w:w="90" w:type="dxa"/>
              <w:right w:w="110" w:type="dxa"/>
            </w:tcMar>
          </w:tcPr>
          <w:p w14:paraId="217BA7E5" w14:textId="77777777" w:rsidR="004668C3" w:rsidRDefault="00000000">
            <w:pPr>
              <w:spacing w:after="0"/>
            </w:pPr>
            <w:r>
              <w:rPr>
                <w:sz w:val="17"/>
              </w:rPr>
              <w:t>2. Tradable expressions</w:t>
            </w:r>
          </w:p>
        </w:tc>
        <w:tc>
          <w:tcPr>
            <w:tcW w:w="2880" w:type="dxa"/>
            <w:shd w:val="clear" w:color="auto" w:fill="EEF4FA"/>
            <w:tcMar>
              <w:top w:w="90" w:type="dxa"/>
              <w:left w:w="110" w:type="dxa"/>
              <w:bottom w:w="90" w:type="dxa"/>
              <w:right w:w="110" w:type="dxa"/>
            </w:tcMar>
          </w:tcPr>
          <w:p w14:paraId="1FE4C553" w14:textId="77777777" w:rsidR="004668C3" w:rsidRDefault="00000000">
            <w:pPr>
              <w:spacing w:after="0"/>
            </w:pPr>
            <w:r>
              <w:rPr>
                <w:sz w:val="17"/>
              </w:rPr>
              <w:t>Where is the position entered and P&amp;L earned?</w:t>
            </w:r>
          </w:p>
        </w:tc>
        <w:tc>
          <w:tcPr>
            <w:tcW w:w="5832" w:type="dxa"/>
            <w:shd w:val="clear" w:color="auto" w:fill="EEF4FA"/>
            <w:tcMar>
              <w:top w:w="90" w:type="dxa"/>
              <w:left w:w="110" w:type="dxa"/>
              <w:bottom w:w="90" w:type="dxa"/>
              <w:right w:w="110" w:type="dxa"/>
            </w:tcMar>
          </w:tcPr>
          <w:p w14:paraId="2672BF6B" w14:textId="77777777" w:rsidR="004668C3" w:rsidRDefault="00000000">
            <w:pPr>
              <w:spacing w:after="0"/>
            </w:pPr>
            <w:r>
              <w:rPr>
                <w:sz w:val="17"/>
              </w:rPr>
              <w:t>One-month GBP/EUR forward; UK–Germany 2Y spread; UK–Germany 10Y spread; one relative curve trade; approved basket.</w:t>
            </w:r>
          </w:p>
        </w:tc>
      </w:tr>
      <w:tr w:rsidR="004668C3" w14:paraId="12270CA9" w14:textId="77777777">
        <w:trPr>
          <w:cantSplit/>
          <w:jc w:val="center"/>
        </w:trPr>
        <w:tc>
          <w:tcPr>
            <w:tcW w:w="1944" w:type="dxa"/>
            <w:tcMar>
              <w:top w:w="90" w:type="dxa"/>
              <w:left w:w="110" w:type="dxa"/>
              <w:bottom w:w="90" w:type="dxa"/>
              <w:right w:w="110" w:type="dxa"/>
            </w:tcMar>
          </w:tcPr>
          <w:p w14:paraId="25F9CC8B" w14:textId="77777777" w:rsidR="004668C3" w:rsidRDefault="00000000">
            <w:pPr>
              <w:spacing w:after="0"/>
            </w:pPr>
            <w:r>
              <w:rPr>
                <w:sz w:val="17"/>
              </w:rPr>
              <w:t>3. Diagnostics</w:t>
            </w:r>
          </w:p>
        </w:tc>
        <w:tc>
          <w:tcPr>
            <w:tcW w:w="2880" w:type="dxa"/>
            <w:tcMar>
              <w:top w:w="90" w:type="dxa"/>
              <w:left w:w="110" w:type="dxa"/>
              <w:bottom w:w="90" w:type="dxa"/>
              <w:right w:w="110" w:type="dxa"/>
            </w:tcMar>
          </w:tcPr>
          <w:p w14:paraId="7B28A7F1" w14:textId="77777777" w:rsidR="004668C3" w:rsidRDefault="00000000">
            <w:pPr>
              <w:spacing w:after="0"/>
            </w:pPr>
            <w:r>
              <w:rPr>
                <w:sz w:val="17"/>
              </w:rPr>
              <w:t>What happened in the underlying market?</w:t>
            </w:r>
          </w:p>
        </w:tc>
        <w:tc>
          <w:tcPr>
            <w:tcW w:w="5832" w:type="dxa"/>
            <w:tcMar>
              <w:top w:w="90" w:type="dxa"/>
              <w:left w:w="110" w:type="dxa"/>
              <w:bottom w:w="90" w:type="dxa"/>
              <w:right w:w="110" w:type="dxa"/>
            </w:tcMar>
          </w:tcPr>
          <w:p w14:paraId="61BFB246" w14:textId="77777777" w:rsidR="004668C3" w:rsidRDefault="00000000">
            <w:pPr>
              <w:spacing w:after="0"/>
            </w:pPr>
            <w:r>
              <w:rPr>
                <w:sz w:val="17"/>
              </w:rPr>
              <w:t>EUR/GBP spot; raw yields; policy rates; individual UK and German legs; event-day price changes.</w:t>
            </w:r>
          </w:p>
        </w:tc>
      </w:tr>
      <w:tr w:rsidR="004668C3" w14:paraId="5651DAFD" w14:textId="77777777">
        <w:trPr>
          <w:cantSplit/>
          <w:jc w:val="center"/>
        </w:trPr>
        <w:tc>
          <w:tcPr>
            <w:tcW w:w="1944" w:type="dxa"/>
            <w:shd w:val="clear" w:color="auto" w:fill="EEF4FA"/>
            <w:tcMar>
              <w:top w:w="90" w:type="dxa"/>
              <w:left w:w="110" w:type="dxa"/>
              <w:bottom w:w="90" w:type="dxa"/>
              <w:right w:w="110" w:type="dxa"/>
            </w:tcMar>
          </w:tcPr>
          <w:p w14:paraId="7F1D7214" w14:textId="77777777" w:rsidR="004668C3" w:rsidRDefault="00000000">
            <w:pPr>
              <w:spacing w:after="0"/>
            </w:pPr>
            <w:r>
              <w:rPr>
                <w:sz w:val="17"/>
              </w:rPr>
              <w:t>4. Benchmarks</w:t>
            </w:r>
          </w:p>
        </w:tc>
        <w:tc>
          <w:tcPr>
            <w:tcW w:w="2880" w:type="dxa"/>
            <w:shd w:val="clear" w:color="auto" w:fill="EEF4FA"/>
            <w:tcMar>
              <w:top w:w="90" w:type="dxa"/>
              <w:left w:w="110" w:type="dxa"/>
              <w:bottom w:w="90" w:type="dxa"/>
              <w:right w:w="110" w:type="dxa"/>
            </w:tcMar>
          </w:tcPr>
          <w:p w14:paraId="27AE5C6F" w14:textId="77777777" w:rsidR="004668C3" w:rsidRDefault="00000000">
            <w:pPr>
              <w:spacing w:after="0"/>
            </w:pPr>
            <w:r>
              <w:rPr>
                <w:sz w:val="17"/>
              </w:rPr>
              <w:t>Did the model add skill beyond a simple rule or passive premium?</w:t>
            </w:r>
          </w:p>
        </w:tc>
        <w:tc>
          <w:tcPr>
            <w:tcW w:w="5832" w:type="dxa"/>
            <w:shd w:val="clear" w:color="auto" w:fill="EEF4FA"/>
            <w:tcMar>
              <w:top w:w="90" w:type="dxa"/>
              <w:left w:w="110" w:type="dxa"/>
              <w:bottom w:w="90" w:type="dxa"/>
              <w:right w:w="110" w:type="dxa"/>
            </w:tcMar>
          </w:tcPr>
          <w:p w14:paraId="671CC8D7" w14:textId="77777777" w:rsidR="004668C3" w:rsidRDefault="00000000">
            <w:pPr>
              <w:spacing w:after="0"/>
            </w:pPr>
            <w:r>
              <w:rPr>
                <w:sz w:val="17"/>
              </w:rPr>
              <w:t>No position; constant direction; carry-only; trend-only; level-only; raw versus volatility-targeted; equal weight versus equal risk.</w:t>
            </w:r>
          </w:p>
        </w:tc>
      </w:tr>
      <w:tr w:rsidR="004668C3" w14:paraId="4D307CFF" w14:textId="77777777">
        <w:trPr>
          <w:cantSplit/>
          <w:jc w:val="center"/>
        </w:trPr>
        <w:tc>
          <w:tcPr>
            <w:tcW w:w="1944" w:type="dxa"/>
            <w:tcMar>
              <w:top w:w="90" w:type="dxa"/>
              <w:left w:w="110" w:type="dxa"/>
              <w:bottom w:w="90" w:type="dxa"/>
              <w:right w:w="110" w:type="dxa"/>
            </w:tcMar>
          </w:tcPr>
          <w:p w14:paraId="1D4AF18E" w14:textId="77777777" w:rsidR="004668C3" w:rsidRDefault="00000000">
            <w:pPr>
              <w:spacing w:after="0"/>
            </w:pPr>
            <w:r>
              <w:rPr>
                <w:sz w:val="17"/>
              </w:rPr>
              <w:t>5. Risk and implementation</w:t>
            </w:r>
          </w:p>
        </w:tc>
        <w:tc>
          <w:tcPr>
            <w:tcW w:w="2880" w:type="dxa"/>
            <w:tcMar>
              <w:top w:w="90" w:type="dxa"/>
              <w:left w:w="110" w:type="dxa"/>
              <w:bottom w:w="90" w:type="dxa"/>
              <w:right w:w="110" w:type="dxa"/>
            </w:tcMar>
          </w:tcPr>
          <w:p w14:paraId="5F219FAA" w14:textId="77777777" w:rsidR="004668C3" w:rsidRDefault="00000000">
            <w:pPr>
              <w:spacing w:after="0"/>
            </w:pPr>
            <w:r>
              <w:rPr>
                <w:sz w:val="17"/>
              </w:rPr>
              <w:t>How large and realistic is the trade?</w:t>
            </w:r>
          </w:p>
        </w:tc>
        <w:tc>
          <w:tcPr>
            <w:tcW w:w="5832" w:type="dxa"/>
            <w:tcMar>
              <w:top w:w="90" w:type="dxa"/>
              <w:left w:w="110" w:type="dxa"/>
              <w:bottom w:w="90" w:type="dxa"/>
              <w:right w:w="110" w:type="dxa"/>
            </w:tcMar>
          </w:tcPr>
          <w:p w14:paraId="27F716C0" w14:textId="77777777" w:rsidR="004668C3" w:rsidRDefault="00000000">
            <w:pPr>
              <w:spacing w:after="0"/>
            </w:pPr>
            <w:r>
              <w:rPr>
                <w:sz w:val="17"/>
              </w:rPr>
              <w:t>Lagged volatility; DV01; correlations; contract rolls; costs; leverage caps; calendars and execution timestamps.</w:t>
            </w:r>
          </w:p>
        </w:tc>
      </w:tr>
    </w:tbl>
    <w:p w14:paraId="583813C8" w14:textId="77777777" w:rsidR="004668C3" w:rsidRDefault="004668C3">
      <w:pPr>
        <w:spacing w:after="100"/>
      </w:pPr>
    </w:p>
    <w:p w14:paraId="7A5BD4FE" w14:textId="77777777" w:rsidR="004668C3" w:rsidRDefault="00000000">
      <w:pPr>
        <w:pStyle w:val="Heading2"/>
      </w:pPr>
      <w:r>
        <w:rPr>
          <w:rFonts w:ascii="Aptos" w:eastAsia="Aptos" w:hAnsi="Aptos"/>
          <w:b w:val="0"/>
        </w:rPr>
        <w:lastRenderedPageBreak/>
        <w:t>2.1 Common sign convention</w:t>
      </w:r>
    </w:p>
    <w:tbl>
      <w:tblPr>
        <w:tblW w:w="0" w:type="auto"/>
        <w:jc w:val="center"/>
        <w:tblLook w:val="04A0" w:firstRow="1" w:lastRow="0" w:firstColumn="1" w:lastColumn="0" w:noHBand="0" w:noVBand="1"/>
      </w:tblPr>
      <w:tblGrid>
        <w:gridCol w:w="10166"/>
      </w:tblGrid>
      <w:tr w:rsidR="004668C3" w14:paraId="74F9ED5D" w14:textId="77777777">
        <w:trPr>
          <w:cantSplit/>
          <w:jc w:val="center"/>
        </w:trPr>
        <w:tc>
          <w:tcPr>
            <w:tcW w:w="10166" w:type="dxa"/>
            <w:shd w:val="clear" w:color="auto" w:fill="FFF2CC"/>
            <w:tcMar>
              <w:top w:w="130" w:type="dxa"/>
              <w:left w:w="170" w:type="dxa"/>
              <w:bottom w:w="130" w:type="dxa"/>
              <w:right w:w="170" w:type="dxa"/>
            </w:tcMar>
          </w:tcPr>
          <w:p w14:paraId="3006FF59" w14:textId="77777777" w:rsidR="004668C3" w:rsidRDefault="00000000">
            <w:pPr>
              <w:spacing w:after="60"/>
            </w:pPr>
            <w:r>
              <w:rPr>
                <w:b/>
                <w:color w:val="17365D"/>
                <w:sz w:val="21"/>
              </w:rPr>
              <w:t>Positive always means “relatively hawkish UK”</w:t>
            </w:r>
          </w:p>
          <w:p w14:paraId="177EC28A" w14:textId="77777777" w:rsidR="004668C3" w:rsidRDefault="00000000">
            <w:pPr>
              <w:spacing w:after="0"/>
            </w:pPr>
            <w:r>
              <w:t>A positive signal means UK policy expectations have become more hawkish relative to the euro area. The corresponding default directions are: long GBP / short EUR; short UK duration / long German duration. A negative signal reverses every direction.</w:t>
            </w:r>
          </w:p>
        </w:tc>
      </w:tr>
    </w:tbl>
    <w:p w14:paraId="331402B2" w14:textId="77777777" w:rsidR="004668C3" w:rsidRDefault="004668C3">
      <w:pPr>
        <w:spacing w:after="100"/>
      </w:pP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1728"/>
        <w:gridCol w:w="4320"/>
        <w:gridCol w:w="4608"/>
      </w:tblGrid>
      <w:tr w:rsidR="004668C3" w14:paraId="0FF31576" w14:textId="77777777">
        <w:trPr>
          <w:cantSplit/>
          <w:tblHeader/>
          <w:jc w:val="center"/>
        </w:trPr>
        <w:tc>
          <w:tcPr>
            <w:tcW w:w="1728" w:type="dxa"/>
            <w:shd w:val="clear" w:color="auto" w:fill="17365D"/>
            <w:tcMar>
              <w:top w:w="90" w:type="dxa"/>
              <w:left w:w="110" w:type="dxa"/>
              <w:bottom w:w="90" w:type="dxa"/>
              <w:right w:w="110" w:type="dxa"/>
            </w:tcMar>
            <w:vAlign w:val="center"/>
          </w:tcPr>
          <w:p w14:paraId="21B82E86" w14:textId="77777777" w:rsidR="004668C3" w:rsidRDefault="00000000">
            <w:r>
              <w:rPr>
                <w:b/>
                <w:color w:val="FFFFFF"/>
                <w:sz w:val="18"/>
              </w:rPr>
              <w:t>Signal</w:t>
            </w:r>
          </w:p>
        </w:tc>
        <w:tc>
          <w:tcPr>
            <w:tcW w:w="4320" w:type="dxa"/>
            <w:shd w:val="clear" w:color="auto" w:fill="17365D"/>
            <w:tcMar>
              <w:top w:w="90" w:type="dxa"/>
              <w:left w:w="110" w:type="dxa"/>
              <w:bottom w:w="90" w:type="dxa"/>
              <w:right w:w="110" w:type="dxa"/>
            </w:tcMar>
            <w:vAlign w:val="center"/>
          </w:tcPr>
          <w:p w14:paraId="31DD8593" w14:textId="77777777" w:rsidR="004668C3" w:rsidRDefault="00000000">
            <w:r>
              <w:rPr>
                <w:b/>
                <w:color w:val="FFFFFF"/>
                <w:sz w:val="18"/>
              </w:rPr>
              <w:t>FX direction</w:t>
            </w:r>
          </w:p>
        </w:tc>
        <w:tc>
          <w:tcPr>
            <w:tcW w:w="4608" w:type="dxa"/>
            <w:shd w:val="clear" w:color="auto" w:fill="17365D"/>
            <w:tcMar>
              <w:top w:w="90" w:type="dxa"/>
              <w:left w:w="110" w:type="dxa"/>
              <w:bottom w:w="90" w:type="dxa"/>
              <w:right w:w="110" w:type="dxa"/>
            </w:tcMar>
            <w:vAlign w:val="center"/>
          </w:tcPr>
          <w:p w14:paraId="1A5A2967" w14:textId="77777777" w:rsidR="004668C3" w:rsidRDefault="00000000">
            <w:r>
              <w:rPr>
                <w:b/>
                <w:color w:val="FFFFFF"/>
                <w:sz w:val="18"/>
              </w:rPr>
              <w:t>Relative-rates direction</w:t>
            </w:r>
          </w:p>
        </w:tc>
      </w:tr>
      <w:tr w:rsidR="004668C3" w14:paraId="04C32972" w14:textId="77777777">
        <w:trPr>
          <w:cantSplit/>
          <w:jc w:val="center"/>
        </w:trPr>
        <w:tc>
          <w:tcPr>
            <w:tcW w:w="1728" w:type="dxa"/>
            <w:tcMar>
              <w:top w:w="90" w:type="dxa"/>
              <w:left w:w="110" w:type="dxa"/>
              <w:bottom w:w="90" w:type="dxa"/>
              <w:right w:w="110" w:type="dxa"/>
            </w:tcMar>
          </w:tcPr>
          <w:p w14:paraId="7B8AF674" w14:textId="77777777" w:rsidR="004668C3" w:rsidRDefault="00000000">
            <w:pPr>
              <w:spacing w:after="0"/>
            </w:pPr>
            <w:r>
              <w:rPr>
                <w:sz w:val="18"/>
              </w:rPr>
              <w:t>Positive</w:t>
            </w:r>
          </w:p>
        </w:tc>
        <w:tc>
          <w:tcPr>
            <w:tcW w:w="4320" w:type="dxa"/>
            <w:tcMar>
              <w:top w:w="90" w:type="dxa"/>
              <w:left w:w="110" w:type="dxa"/>
              <w:bottom w:w="90" w:type="dxa"/>
              <w:right w:w="110" w:type="dxa"/>
            </w:tcMar>
          </w:tcPr>
          <w:p w14:paraId="1D1DAEE3" w14:textId="77777777" w:rsidR="004668C3" w:rsidRDefault="00000000">
            <w:pPr>
              <w:spacing w:after="0"/>
            </w:pPr>
            <w:r>
              <w:rPr>
                <w:sz w:val="18"/>
              </w:rPr>
              <w:t>Long GBP, short EUR — economically short EUR/GBP</w:t>
            </w:r>
          </w:p>
        </w:tc>
        <w:tc>
          <w:tcPr>
            <w:tcW w:w="4608" w:type="dxa"/>
            <w:tcMar>
              <w:top w:w="90" w:type="dxa"/>
              <w:left w:w="110" w:type="dxa"/>
              <w:bottom w:w="90" w:type="dxa"/>
              <w:right w:w="110" w:type="dxa"/>
            </w:tcMar>
          </w:tcPr>
          <w:p w14:paraId="16CAFFC7" w14:textId="77777777" w:rsidR="004668C3" w:rsidRDefault="00000000">
            <w:pPr>
              <w:spacing w:after="0"/>
            </w:pPr>
            <w:r>
              <w:rPr>
                <w:sz w:val="18"/>
              </w:rPr>
              <w:t>Short UK duration, long German duration</w:t>
            </w:r>
          </w:p>
        </w:tc>
      </w:tr>
      <w:tr w:rsidR="004668C3" w14:paraId="37D76CDA" w14:textId="77777777">
        <w:trPr>
          <w:cantSplit/>
          <w:jc w:val="center"/>
        </w:trPr>
        <w:tc>
          <w:tcPr>
            <w:tcW w:w="1728" w:type="dxa"/>
            <w:shd w:val="clear" w:color="auto" w:fill="EEF4FA"/>
            <w:tcMar>
              <w:top w:w="90" w:type="dxa"/>
              <w:left w:w="110" w:type="dxa"/>
              <w:bottom w:w="90" w:type="dxa"/>
              <w:right w:w="110" w:type="dxa"/>
            </w:tcMar>
          </w:tcPr>
          <w:p w14:paraId="4E19BE13" w14:textId="77777777" w:rsidR="004668C3" w:rsidRDefault="00000000">
            <w:pPr>
              <w:spacing w:after="0"/>
            </w:pPr>
            <w:r>
              <w:rPr>
                <w:sz w:val="18"/>
              </w:rPr>
              <w:t>Near zero</w:t>
            </w:r>
          </w:p>
        </w:tc>
        <w:tc>
          <w:tcPr>
            <w:tcW w:w="4320" w:type="dxa"/>
            <w:shd w:val="clear" w:color="auto" w:fill="EEF4FA"/>
            <w:tcMar>
              <w:top w:w="90" w:type="dxa"/>
              <w:left w:w="110" w:type="dxa"/>
              <w:bottom w:w="90" w:type="dxa"/>
              <w:right w:w="110" w:type="dxa"/>
            </w:tcMar>
          </w:tcPr>
          <w:p w14:paraId="4C9DB991" w14:textId="77777777" w:rsidR="004668C3" w:rsidRDefault="00000000">
            <w:pPr>
              <w:spacing w:after="0"/>
            </w:pPr>
            <w:r>
              <w:rPr>
                <w:sz w:val="18"/>
              </w:rPr>
              <w:t>Little or no position</w:t>
            </w:r>
          </w:p>
        </w:tc>
        <w:tc>
          <w:tcPr>
            <w:tcW w:w="4608" w:type="dxa"/>
            <w:shd w:val="clear" w:color="auto" w:fill="EEF4FA"/>
            <w:tcMar>
              <w:top w:w="90" w:type="dxa"/>
              <w:left w:w="110" w:type="dxa"/>
              <w:bottom w:w="90" w:type="dxa"/>
              <w:right w:w="110" w:type="dxa"/>
            </w:tcMar>
          </w:tcPr>
          <w:p w14:paraId="59E4C145" w14:textId="77777777" w:rsidR="004668C3" w:rsidRDefault="00000000">
            <w:pPr>
              <w:spacing w:after="0"/>
            </w:pPr>
            <w:r>
              <w:rPr>
                <w:sz w:val="18"/>
              </w:rPr>
              <w:t>Little or no position</w:t>
            </w:r>
          </w:p>
        </w:tc>
      </w:tr>
      <w:tr w:rsidR="004668C3" w14:paraId="79EEB47F" w14:textId="77777777">
        <w:trPr>
          <w:cantSplit/>
          <w:jc w:val="center"/>
        </w:trPr>
        <w:tc>
          <w:tcPr>
            <w:tcW w:w="1728" w:type="dxa"/>
            <w:tcMar>
              <w:top w:w="90" w:type="dxa"/>
              <w:left w:w="110" w:type="dxa"/>
              <w:bottom w:w="90" w:type="dxa"/>
              <w:right w:w="110" w:type="dxa"/>
            </w:tcMar>
          </w:tcPr>
          <w:p w14:paraId="5E77B98A" w14:textId="77777777" w:rsidR="004668C3" w:rsidRDefault="00000000">
            <w:pPr>
              <w:spacing w:after="0"/>
            </w:pPr>
            <w:r>
              <w:rPr>
                <w:sz w:val="18"/>
              </w:rPr>
              <w:t>Negative</w:t>
            </w:r>
          </w:p>
        </w:tc>
        <w:tc>
          <w:tcPr>
            <w:tcW w:w="4320" w:type="dxa"/>
            <w:tcMar>
              <w:top w:w="90" w:type="dxa"/>
              <w:left w:w="110" w:type="dxa"/>
              <w:bottom w:w="90" w:type="dxa"/>
              <w:right w:w="110" w:type="dxa"/>
            </w:tcMar>
          </w:tcPr>
          <w:p w14:paraId="3215D4E0" w14:textId="77777777" w:rsidR="004668C3" w:rsidRDefault="00000000">
            <w:pPr>
              <w:spacing w:after="0"/>
            </w:pPr>
            <w:r>
              <w:rPr>
                <w:sz w:val="18"/>
              </w:rPr>
              <w:t>Short GBP, long EUR — economically long EUR/GBP</w:t>
            </w:r>
          </w:p>
        </w:tc>
        <w:tc>
          <w:tcPr>
            <w:tcW w:w="4608" w:type="dxa"/>
            <w:tcMar>
              <w:top w:w="90" w:type="dxa"/>
              <w:left w:w="110" w:type="dxa"/>
              <w:bottom w:w="90" w:type="dxa"/>
              <w:right w:w="110" w:type="dxa"/>
            </w:tcMar>
          </w:tcPr>
          <w:p w14:paraId="0A9464E1" w14:textId="77777777" w:rsidR="004668C3" w:rsidRDefault="00000000">
            <w:pPr>
              <w:spacing w:after="0"/>
            </w:pPr>
            <w:r>
              <w:rPr>
                <w:sz w:val="18"/>
              </w:rPr>
              <w:t>Long UK duration, short German duration</w:t>
            </w:r>
          </w:p>
        </w:tc>
      </w:tr>
    </w:tbl>
    <w:p w14:paraId="558F6525" w14:textId="77777777" w:rsidR="004668C3" w:rsidRDefault="004668C3">
      <w:pPr>
        <w:spacing w:after="100"/>
      </w:pPr>
    </w:p>
    <w:p w14:paraId="792823C4" w14:textId="77777777" w:rsidR="004668C3" w:rsidRDefault="00000000">
      <w:pPr>
        <w:pStyle w:val="Heading2"/>
      </w:pPr>
      <w:r>
        <w:rPr>
          <w:rFonts w:ascii="Aptos" w:eastAsia="Aptos" w:hAnsi="Aptos"/>
          <w:b w:val="0"/>
        </w:rPr>
        <w:t>2.2 The approved expression universe</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2880"/>
        <w:gridCol w:w="6120"/>
        <w:gridCol w:w="1656"/>
      </w:tblGrid>
      <w:tr w:rsidR="004668C3" w14:paraId="011CE5E7" w14:textId="77777777">
        <w:trPr>
          <w:cantSplit/>
          <w:tblHeader/>
          <w:jc w:val="center"/>
        </w:trPr>
        <w:tc>
          <w:tcPr>
            <w:tcW w:w="2880" w:type="dxa"/>
            <w:shd w:val="clear" w:color="auto" w:fill="17365D"/>
            <w:tcMar>
              <w:top w:w="90" w:type="dxa"/>
              <w:left w:w="110" w:type="dxa"/>
              <w:bottom w:w="90" w:type="dxa"/>
              <w:right w:w="110" w:type="dxa"/>
            </w:tcMar>
            <w:vAlign w:val="center"/>
          </w:tcPr>
          <w:p w14:paraId="13F1028D" w14:textId="77777777" w:rsidR="004668C3" w:rsidRDefault="00000000">
            <w:r>
              <w:rPr>
                <w:b/>
                <w:color w:val="FFFFFF"/>
                <w:sz w:val="17"/>
              </w:rPr>
              <w:t>Expression</w:t>
            </w:r>
          </w:p>
        </w:tc>
        <w:tc>
          <w:tcPr>
            <w:tcW w:w="6120" w:type="dxa"/>
            <w:shd w:val="clear" w:color="auto" w:fill="17365D"/>
            <w:tcMar>
              <w:top w:w="90" w:type="dxa"/>
              <w:left w:w="110" w:type="dxa"/>
              <w:bottom w:w="90" w:type="dxa"/>
              <w:right w:w="110" w:type="dxa"/>
            </w:tcMar>
            <w:vAlign w:val="center"/>
          </w:tcPr>
          <w:p w14:paraId="1FFBA7BA" w14:textId="77777777" w:rsidR="004668C3" w:rsidRDefault="00000000">
            <w:r>
              <w:rPr>
                <w:b/>
                <w:color w:val="FFFFFF"/>
                <w:sz w:val="17"/>
              </w:rPr>
              <w:t>Project role</w:t>
            </w:r>
          </w:p>
        </w:tc>
        <w:tc>
          <w:tcPr>
            <w:tcW w:w="1656" w:type="dxa"/>
            <w:shd w:val="clear" w:color="auto" w:fill="17365D"/>
            <w:tcMar>
              <w:top w:w="90" w:type="dxa"/>
              <w:left w:w="110" w:type="dxa"/>
              <w:bottom w:w="90" w:type="dxa"/>
              <w:right w:w="110" w:type="dxa"/>
            </w:tcMar>
            <w:vAlign w:val="center"/>
          </w:tcPr>
          <w:p w14:paraId="145E4F82" w14:textId="77777777" w:rsidR="004668C3" w:rsidRDefault="00000000">
            <w:r>
              <w:rPr>
                <w:b/>
                <w:color w:val="FFFFFF"/>
                <w:sz w:val="17"/>
              </w:rPr>
              <w:t>Priority</w:t>
            </w:r>
          </w:p>
        </w:tc>
      </w:tr>
      <w:tr w:rsidR="004668C3" w14:paraId="0D1EE788" w14:textId="77777777">
        <w:trPr>
          <w:cantSplit/>
          <w:jc w:val="center"/>
        </w:trPr>
        <w:tc>
          <w:tcPr>
            <w:tcW w:w="2880" w:type="dxa"/>
            <w:tcMar>
              <w:top w:w="90" w:type="dxa"/>
              <w:left w:w="110" w:type="dxa"/>
              <w:bottom w:w="90" w:type="dxa"/>
              <w:right w:w="110" w:type="dxa"/>
            </w:tcMar>
          </w:tcPr>
          <w:p w14:paraId="4CAC80D2" w14:textId="77777777" w:rsidR="004668C3" w:rsidRDefault="00000000">
            <w:pPr>
              <w:spacing w:after="0"/>
            </w:pPr>
            <w:r>
              <w:rPr>
                <w:sz w:val="17"/>
              </w:rPr>
              <w:t>EUR/GBP spot</w:t>
            </w:r>
          </w:p>
        </w:tc>
        <w:tc>
          <w:tcPr>
            <w:tcW w:w="6120" w:type="dxa"/>
            <w:tcMar>
              <w:top w:w="90" w:type="dxa"/>
              <w:left w:w="110" w:type="dxa"/>
              <w:bottom w:w="90" w:type="dxa"/>
              <w:right w:w="110" w:type="dxa"/>
            </w:tcMar>
          </w:tcPr>
          <w:p w14:paraId="10D6D115" w14:textId="77777777" w:rsidR="004668C3" w:rsidRDefault="00000000">
            <w:pPr>
              <w:spacing w:after="0"/>
            </w:pPr>
            <w:r>
              <w:rPr>
                <w:sz w:val="17"/>
              </w:rPr>
              <w:t>Diagnostic for currency direction and event response; not the preferred funded strategy</w:t>
            </w:r>
          </w:p>
        </w:tc>
        <w:tc>
          <w:tcPr>
            <w:tcW w:w="1656" w:type="dxa"/>
            <w:tcMar>
              <w:top w:w="90" w:type="dxa"/>
              <w:left w:w="110" w:type="dxa"/>
              <w:bottom w:w="90" w:type="dxa"/>
              <w:right w:w="110" w:type="dxa"/>
            </w:tcMar>
          </w:tcPr>
          <w:p w14:paraId="1C1FDAF0" w14:textId="77777777" w:rsidR="004668C3" w:rsidRDefault="00000000">
            <w:pPr>
              <w:spacing w:after="0"/>
            </w:pPr>
            <w:r>
              <w:rPr>
                <w:sz w:val="17"/>
              </w:rPr>
              <w:t>Keep, diagnostic</w:t>
            </w:r>
          </w:p>
        </w:tc>
      </w:tr>
      <w:tr w:rsidR="004668C3" w14:paraId="5CA8D7FD" w14:textId="77777777">
        <w:trPr>
          <w:cantSplit/>
          <w:jc w:val="center"/>
        </w:trPr>
        <w:tc>
          <w:tcPr>
            <w:tcW w:w="2880" w:type="dxa"/>
            <w:shd w:val="clear" w:color="auto" w:fill="EEF4FA"/>
            <w:tcMar>
              <w:top w:w="90" w:type="dxa"/>
              <w:left w:w="110" w:type="dxa"/>
              <w:bottom w:w="90" w:type="dxa"/>
              <w:right w:w="110" w:type="dxa"/>
            </w:tcMar>
          </w:tcPr>
          <w:p w14:paraId="75A504AD" w14:textId="77777777" w:rsidR="004668C3" w:rsidRDefault="00000000">
            <w:pPr>
              <w:spacing w:after="0"/>
            </w:pPr>
            <w:r>
              <w:rPr>
                <w:sz w:val="17"/>
              </w:rPr>
              <w:t>One-month GBP/EUR forward</w:t>
            </w:r>
          </w:p>
        </w:tc>
        <w:tc>
          <w:tcPr>
            <w:tcW w:w="6120" w:type="dxa"/>
            <w:shd w:val="clear" w:color="auto" w:fill="EEF4FA"/>
            <w:tcMar>
              <w:top w:w="90" w:type="dxa"/>
              <w:left w:w="110" w:type="dxa"/>
              <w:bottom w:w="90" w:type="dxa"/>
              <w:right w:w="110" w:type="dxa"/>
            </w:tcMar>
          </w:tcPr>
          <w:p w14:paraId="56B14A7F" w14:textId="77777777" w:rsidR="004668C3" w:rsidRDefault="00000000">
            <w:pPr>
              <w:spacing w:after="0"/>
            </w:pPr>
            <w:r>
              <w:rPr>
                <w:sz w:val="17"/>
              </w:rPr>
              <w:t>Main tradable FX expression; return combines spot movement and forward/carry effect</w:t>
            </w:r>
          </w:p>
        </w:tc>
        <w:tc>
          <w:tcPr>
            <w:tcW w:w="1656" w:type="dxa"/>
            <w:shd w:val="clear" w:color="auto" w:fill="EEF4FA"/>
            <w:tcMar>
              <w:top w:w="90" w:type="dxa"/>
              <w:left w:w="110" w:type="dxa"/>
              <w:bottom w:w="90" w:type="dxa"/>
              <w:right w:w="110" w:type="dxa"/>
            </w:tcMar>
          </w:tcPr>
          <w:p w14:paraId="6A83C852" w14:textId="77777777" w:rsidR="004668C3" w:rsidRDefault="00000000">
            <w:pPr>
              <w:spacing w:after="0"/>
            </w:pPr>
            <w:r>
              <w:rPr>
                <w:sz w:val="17"/>
              </w:rPr>
              <w:t>Core headline</w:t>
            </w:r>
          </w:p>
        </w:tc>
      </w:tr>
      <w:tr w:rsidR="004668C3" w14:paraId="525B2406" w14:textId="77777777">
        <w:trPr>
          <w:cantSplit/>
          <w:jc w:val="center"/>
        </w:trPr>
        <w:tc>
          <w:tcPr>
            <w:tcW w:w="2880" w:type="dxa"/>
            <w:tcMar>
              <w:top w:w="90" w:type="dxa"/>
              <w:left w:w="110" w:type="dxa"/>
              <w:bottom w:w="90" w:type="dxa"/>
              <w:right w:w="110" w:type="dxa"/>
            </w:tcMar>
          </w:tcPr>
          <w:p w14:paraId="5472FBD2" w14:textId="77777777" w:rsidR="004668C3" w:rsidRDefault="00000000">
            <w:pPr>
              <w:spacing w:after="0"/>
            </w:pPr>
            <w:r>
              <w:rPr>
                <w:sz w:val="17"/>
              </w:rPr>
              <w:t>UK–Germany 2Y rates spread</w:t>
            </w:r>
          </w:p>
        </w:tc>
        <w:tc>
          <w:tcPr>
            <w:tcW w:w="6120" w:type="dxa"/>
            <w:tcMar>
              <w:top w:w="90" w:type="dxa"/>
              <w:left w:w="110" w:type="dxa"/>
              <w:bottom w:w="90" w:type="dxa"/>
              <w:right w:w="110" w:type="dxa"/>
            </w:tcMar>
          </w:tcPr>
          <w:p w14:paraId="5A338B3E" w14:textId="77777777" w:rsidR="004668C3" w:rsidRPr="00BC0167" w:rsidRDefault="00000000">
            <w:pPr>
              <w:rPr>
                <w:sz w:val="17"/>
                <w:szCs w:val="17"/>
              </w:rPr>
            </w:pPr>
            <w:r w:rsidRPr="00BC0167">
              <w:rPr>
                <w:sz w:val="17"/>
                <w:szCs w:val="17"/>
              </w:rPr>
              <w:t>Main policy-sensitive rates expression; DV01-balanced. Economic object is approximately 2Y UK versus German duration; futures are the preferred tradable implementation, with synthetic constant-maturity zero-coupon returns as the fallback/robustness construction.</w:t>
            </w:r>
          </w:p>
        </w:tc>
        <w:tc>
          <w:tcPr>
            <w:tcW w:w="1656" w:type="dxa"/>
            <w:tcMar>
              <w:top w:w="90" w:type="dxa"/>
              <w:left w:w="110" w:type="dxa"/>
              <w:bottom w:w="90" w:type="dxa"/>
              <w:right w:w="110" w:type="dxa"/>
            </w:tcMar>
          </w:tcPr>
          <w:p w14:paraId="0671AF34" w14:textId="77777777" w:rsidR="004668C3" w:rsidRPr="00BC0167" w:rsidRDefault="00000000">
            <w:pPr>
              <w:rPr>
                <w:sz w:val="17"/>
                <w:szCs w:val="17"/>
              </w:rPr>
            </w:pPr>
            <w:r w:rsidRPr="00BC0167">
              <w:rPr>
                <w:sz w:val="17"/>
                <w:szCs w:val="17"/>
              </w:rPr>
              <w:t>Core headline; futures priority</w:t>
            </w:r>
          </w:p>
        </w:tc>
      </w:tr>
      <w:tr w:rsidR="004668C3" w14:paraId="1DDBC953" w14:textId="77777777">
        <w:trPr>
          <w:cantSplit/>
          <w:jc w:val="center"/>
        </w:trPr>
        <w:tc>
          <w:tcPr>
            <w:tcW w:w="2880" w:type="dxa"/>
            <w:shd w:val="clear" w:color="auto" w:fill="EEF4FA"/>
            <w:tcMar>
              <w:top w:w="90" w:type="dxa"/>
              <w:left w:w="110" w:type="dxa"/>
              <w:bottom w:w="90" w:type="dxa"/>
              <w:right w:w="110" w:type="dxa"/>
            </w:tcMar>
          </w:tcPr>
          <w:p w14:paraId="0D81D49F" w14:textId="77777777" w:rsidR="004668C3" w:rsidRDefault="00000000">
            <w:pPr>
              <w:spacing w:after="0"/>
            </w:pPr>
            <w:r>
              <w:rPr>
                <w:sz w:val="17"/>
              </w:rPr>
              <w:t>UK–Germany 10Y rates spread</w:t>
            </w:r>
          </w:p>
        </w:tc>
        <w:tc>
          <w:tcPr>
            <w:tcW w:w="6120" w:type="dxa"/>
            <w:shd w:val="clear" w:color="auto" w:fill="EEF4FA"/>
            <w:tcMar>
              <w:top w:w="90" w:type="dxa"/>
              <w:left w:w="110" w:type="dxa"/>
              <w:bottom w:w="90" w:type="dxa"/>
              <w:right w:w="110" w:type="dxa"/>
            </w:tcMar>
          </w:tcPr>
          <w:p w14:paraId="48C69474" w14:textId="77777777" w:rsidR="004668C3" w:rsidRPr="00BC0167" w:rsidRDefault="00000000">
            <w:pPr>
              <w:rPr>
                <w:sz w:val="17"/>
                <w:szCs w:val="17"/>
              </w:rPr>
            </w:pPr>
            <w:r w:rsidRPr="00BC0167">
              <w:rPr>
                <w:sz w:val="17"/>
                <w:szCs w:val="17"/>
              </w:rPr>
              <w:t>Long-end relative-rates expression with greater term-premium, fiscal and supply contamination. Futures are preferred if a defensible 10Y maturity-bucket implementation is available; synthetic 10Y zero-coupon returns are the fallback/robustness construction.</w:t>
            </w:r>
          </w:p>
        </w:tc>
        <w:tc>
          <w:tcPr>
            <w:tcW w:w="1656" w:type="dxa"/>
            <w:shd w:val="clear" w:color="auto" w:fill="EEF4FA"/>
            <w:tcMar>
              <w:top w:w="90" w:type="dxa"/>
              <w:left w:w="110" w:type="dxa"/>
              <w:bottom w:w="90" w:type="dxa"/>
              <w:right w:w="110" w:type="dxa"/>
            </w:tcMar>
          </w:tcPr>
          <w:p w14:paraId="053A04EE" w14:textId="77777777" w:rsidR="004668C3" w:rsidRPr="00BC0167" w:rsidRDefault="00000000">
            <w:pPr>
              <w:rPr>
                <w:sz w:val="17"/>
                <w:szCs w:val="17"/>
              </w:rPr>
            </w:pPr>
            <w:r w:rsidRPr="00BC0167">
              <w:rPr>
                <w:sz w:val="17"/>
                <w:szCs w:val="17"/>
              </w:rPr>
              <w:t>Secondary, data-gated; futures priority</w:t>
            </w:r>
          </w:p>
        </w:tc>
      </w:tr>
      <w:tr w:rsidR="004668C3" w14:paraId="2E018434" w14:textId="77777777">
        <w:trPr>
          <w:cantSplit/>
          <w:jc w:val="center"/>
        </w:trPr>
        <w:tc>
          <w:tcPr>
            <w:tcW w:w="2880" w:type="dxa"/>
            <w:tcMar>
              <w:top w:w="90" w:type="dxa"/>
              <w:left w:w="110" w:type="dxa"/>
              <w:bottom w:w="90" w:type="dxa"/>
              <w:right w:w="110" w:type="dxa"/>
            </w:tcMar>
          </w:tcPr>
          <w:p w14:paraId="13C724BC" w14:textId="77777777" w:rsidR="004668C3" w:rsidRDefault="00000000">
            <w:pPr>
              <w:spacing w:after="0"/>
            </w:pPr>
            <w:r>
              <w:rPr>
                <w:sz w:val="17"/>
              </w:rPr>
              <w:t>One relative curve trade</w:t>
            </w:r>
          </w:p>
        </w:tc>
        <w:tc>
          <w:tcPr>
            <w:tcW w:w="6120" w:type="dxa"/>
            <w:tcMar>
              <w:top w:w="90" w:type="dxa"/>
              <w:left w:w="110" w:type="dxa"/>
              <w:bottom w:w="90" w:type="dxa"/>
              <w:right w:w="110" w:type="dxa"/>
            </w:tcMar>
          </w:tcPr>
          <w:p w14:paraId="59D900E2" w14:textId="77777777" w:rsidR="004668C3" w:rsidRDefault="00000000">
            <w:pPr>
              <w:spacing w:after="0"/>
            </w:pPr>
            <w:r>
              <w:rPr>
                <w:sz w:val="17"/>
              </w:rPr>
              <w:t>Tests relative flattening or steepening; only include with a pre-specified economic direction</w:t>
            </w:r>
          </w:p>
        </w:tc>
        <w:tc>
          <w:tcPr>
            <w:tcW w:w="1656" w:type="dxa"/>
            <w:tcMar>
              <w:top w:w="90" w:type="dxa"/>
              <w:left w:w="110" w:type="dxa"/>
              <w:bottom w:w="90" w:type="dxa"/>
              <w:right w:w="110" w:type="dxa"/>
            </w:tcMar>
          </w:tcPr>
          <w:p w14:paraId="7503CDF7" w14:textId="77777777" w:rsidR="004668C3" w:rsidRDefault="00000000">
            <w:pPr>
              <w:spacing w:after="0"/>
            </w:pPr>
            <w:r>
              <w:rPr>
                <w:sz w:val="17"/>
              </w:rPr>
              <w:t>Conditional</w:t>
            </w:r>
          </w:p>
        </w:tc>
      </w:tr>
      <w:tr w:rsidR="004668C3" w14:paraId="4921119C" w14:textId="77777777">
        <w:trPr>
          <w:cantSplit/>
          <w:jc w:val="center"/>
        </w:trPr>
        <w:tc>
          <w:tcPr>
            <w:tcW w:w="2880" w:type="dxa"/>
            <w:shd w:val="clear" w:color="auto" w:fill="EEF4FA"/>
            <w:tcMar>
              <w:top w:w="90" w:type="dxa"/>
              <w:left w:w="110" w:type="dxa"/>
              <w:bottom w:w="90" w:type="dxa"/>
              <w:right w:w="110" w:type="dxa"/>
            </w:tcMar>
          </w:tcPr>
          <w:p w14:paraId="0B3981F4" w14:textId="77777777" w:rsidR="004668C3" w:rsidRDefault="00000000">
            <w:pPr>
              <w:spacing w:after="0"/>
            </w:pPr>
            <w:r>
              <w:rPr>
                <w:sz w:val="17"/>
              </w:rPr>
              <w:t>Equal-risk rates–FX basket</w:t>
            </w:r>
          </w:p>
        </w:tc>
        <w:tc>
          <w:tcPr>
            <w:tcW w:w="6120" w:type="dxa"/>
            <w:shd w:val="clear" w:color="auto" w:fill="EEF4FA"/>
            <w:tcMar>
              <w:top w:w="90" w:type="dxa"/>
              <w:left w:w="110" w:type="dxa"/>
              <w:bottom w:w="90" w:type="dxa"/>
              <w:right w:w="110" w:type="dxa"/>
            </w:tcMar>
          </w:tcPr>
          <w:p w14:paraId="383B36EC" w14:textId="77777777" w:rsidR="004668C3" w:rsidRDefault="00000000">
            <w:pPr>
              <w:spacing w:after="0"/>
            </w:pPr>
            <w:r>
              <w:rPr>
                <w:sz w:val="17"/>
              </w:rPr>
              <w:t>Portfolio built from validated standalone expressions; not a separate market or signal</w:t>
            </w:r>
          </w:p>
        </w:tc>
        <w:tc>
          <w:tcPr>
            <w:tcW w:w="1656" w:type="dxa"/>
            <w:shd w:val="clear" w:color="auto" w:fill="EEF4FA"/>
            <w:tcMar>
              <w:top w:w="90" w:type="dxa"/>
              <w:left w:w="110" w:type="dxa"/>
              <w:bottom w:w="90" w:type="dxa"/>
              <w:right w:w="110" w:type="dxa"/>
            </w:tcMar>
          </w:tcPr>
          <w:p w14:paraId="52B6C7F0" w14:textId="77777777" w:rsidR="004668C3" w:rsidRDefault="00000000">
            <w:pPr>
              <w:spacing w:after="0"/>
            </w:pPr>
            <w:r>
              <w:rPr>
                <w:sz w:val="17"/>
              </w:rPr>
              <w:t>Construct last</w:t>
            </w:r>
          </w:p>
        </w:tc>
      </w:tr>
    </w:tbl>
    <w:p w14:paraId="14AD7C32" w14:textId="77777777" w:rsidR="004668C3" w:rsidRDefault="004668C3">
      <w:pPr>
        <w:spacing w:after="100"/>
      </w:pPr>
    </w:p>
    <w:p w14:paraId="5E823A91" w14:textId="77777777" w:rsidR="004668C3" w:rsidRDefault="00000000">
      <w:pPr>
        <w:pStyle w:val="Heading1"/>
      </w:pPr>
      <w:r>
        <w:rPr>
          <w:rFonts w:ascii="Aptos" w:eastAsia="Aptos" w:hAnsi="Aptos"/>
          <w:b w:val="0"/>
        </w:rPr>
        <w:t>3. Module A — slow-moving policy divergence</w:t>
      </w:r>
    </w:p>
    <w:p w14:paraId="450DB38D" w14:textId="77777777" w:rsidR="004668C3" w:rsidRDefault="00000000">
      <w:pPr>
        <w:spacing w:after="100"/>
      </w:pPr>
      <w:r>
        <w:t>Module A asks whether gradual changes in market pricing of the BoE path relative to the ECB path can be translated into a repeatable multiweek trade. It is the calendar-based trading module: signals are refreshed weekly, positions are rebalanced weekly, and returns are measured daily.</w:t>
      </w:r>
    </w:p>
    <w:p w14:paraId="39AE111F" w14:textId="77777777" w:rsidR="004668C3" w:rsidRDefault="00000000">
      <w:pPr>
        <w:pStyle w:val="Heading2"/>
      </w:pPr>
      <w:r>
        <w:rPr>
          <w:rFonts w:ascii="Aptos" w:eastAsia="Aptos" w:hAnsi="Aptos"/>
          <w:b w:val="0"/>
        </w:rPr>
        <w:t>3.1 What defines the signal</w:t>
      </w:r>
    </w:p>
    <w:p w14:paraId="65D3B77D" w14:textId="77777777" w:rsidR="004668C3" w:rsidRDefault="00000000">
      <w:pPr>
        <w:spacing w:after="100"/>
      </w:pPr>
      <w:r>
        <w:t xml:space="preserve">Module A measures recent repricing in the relative short-end OIS path: how market pricing of future overnight rates in the UK has changed versus the euro area. A par OIS rate is the fixed rate that makes an overnight-indexed swap against compounded SONIA (UK) or €STR (euro area) worth approximately zero at inception. It is therefore a market-implied policy-path price, not a pure forecast, and can contain risk premia and market technicals. Collect matched daily 6M, </w:t>
      </w:r>
      <w:r>
        <w:lastRenderedPageBreak/>
        <w:t>1Y and 2Y OIS rate levels for both regions; the working primary signal uses 6M and 1Y, while 2Y is the principal horizon robustness specification.</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3096"/>
        <w:gridCol w:w="5616"/>
        <w:gridCol w:w="1944"/>
      </w:tblGrid>
      <w:tr w:rsidR="004668C3" w14:paraId="5C222603" w14:textId="77777777">
        <w:trPr>
          <w:cantSplit/>
          <w:tblHeader/>
          <w:jc w:val="center"/>
        </w:trPr>
        <w:tc>
          <w:tcPr>
            <w:tcW w:w="3096" w:type="dxa"/>
            <w:shd w:val="clear" w:color="auto" w:fill="17365D"/>
            <w:tcMar>
              <w:top w:w="90" w:type="dxa"/>
              <w:left w:w="110" w:type="dxa"/>
              <w:bottom w:w="90" w:type="dxa"/>
              <w:right w:w="110" w:type="dxa"/>
            </w:tcMar>
            <w:vAlign w:val="center"/>
          </w:tcPr>
          <w:p w14:paraId="06331F77" w14:textId="77777777" w:rsidR="004668C3" w:rsidRDefault="00000000">
            <w:r>
              <w:rPr>
                <w:b/>
                <w:color w:val="FFFFFF"/>
                <w:sz w:val="17"/>
              </w:rPr>
              <w:t>Input</w:t>
            </w:r>
          </w:p>
        </w:tc>
        <w:tc>
          <w:tcPr>
            <w:tcW w:w="5616" w:type="dxa"/>
            <w:shd w:val="clear" w:color="auto" w:fill="17365D"/>
            <w:tcMar>
              <w:top w:w="90" w:type="dxa"/>
              <w:left w:w="110" w:type="dxa"/>
              <w:bottom w:w="90" w:type="dxa"/>
              <w:right w:w="110" w:type="dxa"/>
            </w:tcMar>
            <w:vAlign w:val="center"/>
          </w:tcPr>
          <w:p w14:paraId="724ABEAA" w14:textId="77777777" w:rsidR="004668C3" w:rsidRDefault="00000000">
            <w:r>
              <w:rPr>
                <w:b/>
                <w:color w:val="FFFFFF"/>
                <w:sz w:val="17"/>
              </w:rPr>
              <w:t>Use in Module A</w:t>
            </w:r>
          </w:p>
        </w:tc>
        <w:tc>
          <w:tcPr>
            <w:tcW w:w="1944" w:type="dxa"/>
            <w:shd w:val="clear" w:color="auto" w:fill="17365D"/>
            <w:tcMar>
              <w:top w:w="90" w:type="dxa"/>
              <w:left w:w="110" w:type="dxa"/>
              <w:bottom w:w="90" w:type="dxa"/>
              <w:right w:w="110" w:type="dxa"/>
            </w:tcMar>
            <w:vAlign w:val="center"/>
          </w:tcPr>
          <w:p w14:paraId="388186EE" w14:textId="77777777" w:rsidR="004668C3" w:rsidRDefault="00000000">
            <w:r>
              <w:rPr>
                <w:b/>
                <w:color w:val="FFFFFF"/>
                <w:sz w:val="17"/>
              </w:rPr>
              <w:t>Primary or supporting?</w:t>
            </w:r>
          </w:p>
        </w:tc>
      </w:tr>
      <w:tr w:rsidR="004668C3" w14:paraId="0392620D" w14:textId="77777777">
        <w:trPr>
          <w:cantSplit/>
          <w:jc w:val="center"/>
        </w:trPr>
        <w:tc>
          <w:tcPr>
            <w:tcW w:w="3096" w:type="dxa"/>
            <w:tcMar>
              <w:top w:w="90" w:type="dxa"/>
              <w:left w:w="110" w:type="dxa"/>
              <w:bottom w:w="90" w:type="dxa"/>
              <w:right w:w="110" w:type="dxa"/>
            </w:tcMar>
          </w:tcPr>
          <w:p w14:paraId="25191ADB" w14:textId="77777777" w:rsidR="0022551D" w:rsidRPr="0026149E" w:rsidRDefault="00000000">
            <w:pPr>
              <w:rPr>
                <w:sz w:val="17"/>
                <w:szCs w:val="17"/>
              </w:rPr>
            </w:pPr>
            <w:r w:rsidRPr="0026149E">
              <w:rPr>
                <w:sz w:val="17"/>
                <w:szCs w:val="17"/>
              </w:rPr>
              <w:t>UK SONIA OIS curve</w:t>
            </w:r>
          </w:p>
        </w:tc>
        <w:tc>
          <w:tcPr>
            <w:tcW w:w="5616" w:type="dxa"/>
            <w:tcMar>
              <w:top w:w="90" w:type="dxa"/>
              <w:left w:w="110" w:type="dxa"/>
              <w:bottom w:w="90" w:type="dxa"/>
              <w:right w:w="110" w:type="dxa"/>
            </w:tcMar>
          </w:tcPr>
          <w:p w14:paraId="4F280E43" w14:textId="77777777" w:rsidR="0022551D" w:rsidRPr="0026149E" w:rsidRDefault="00000000">
            <w:pPr>
              <w:rPr>
                <w:sz w:val="17"/>
                <w:szCs w:val="17"/>
              </w:rPr>
            </w:pPr>
            <w:r w:rsidRPr="0026149E">
              <w:rPr>
                <w:sz w:val="17"/>
                <w:szCs w:val="17"/>
              </w:rPr>
              <w:t>Daily matched par-OIS rate levels at 6M, 1Y and 2Y; 6M and 1Y are the primary policy-sensitive horizons</w:t>
            </w:r>
          </w:p>
        </w:tc>
        <w:tc>
          <w:tcPr>
            <w:tcW w:w="1944" w:type="dxa"/>
            <w:tcMar>
              <w:top w:w="90" w:type="dxa"/>
              <w:left w:w="110" w:type="dxa"/>
              <w:bottom w:w="90" w:type="dxa"/>
              <w:right w:w="110" w:type="dxa"/>
            </w:tcMar>
          </w:tcPr>
          <w:p w14:paraId="4EB7FDDA" w14:textId="77777777" w:rsidR="0022551D" w:rsidRPr="0026149E" w:rsidRDefault="00000000">
            <w:pPr>
              <w:rPr>
                <w:sz w:val="17"/>
                <w:szCs w:val="17"/>
              </w:rPr>
            </w:pPr>
            <w:r w:rsidRPr="0026149E">
              <w:rPr>
                <w:sz w:val="17"/>
                <w:szCs w:val="17"/>
              </w:rPr>
              <w:t>Primary source; 2Y retained for robustness</w:t>
            </w:r>
          </w:p>
        </w:tc>
      </w:tr>
      <w:tr w:rsidR="004668C3" w14:paraId="6E3F2801" w14:textId="77777777">
        <w:trPr>
          <w:cantSplit/>
          <w:jc w:val="center"/>
        </w:trPr>
        <w:tc>
          <w:tcPr>
            <w:tcW w:w="3096" w:type="dxa"/>
            <w:shd w:val="clear" w:color="auto" w:fill="EEF4FA"/>
            <w:tcMar>
              <w:top w:w="90" w:type="dxa"/>
              <w:left w:w="110" w:type="dxa"/>
              <w:bottom w:w="90" w:type="dxa"/>
              <w:right w:w="110" w:type="dxa"/>
            </w:tcMar>
          </w:tcPr>
          <w:p w14:paraId="21C835A3" w14:textId="77777777" w:rsidR="0022551D" w:rsidRPr="0026149E" w:rsidRDefault="00000000">
            <w:pPr>
              <w:rPr>
                <w:sz w:val="17"/>
                <w:szCs w:val="17"/>
              </w:rPr>
            </w:pPr>
            <w:r w:rsidRPr="0026149E">
              <w:rPr>
                <w:sz w:val="17"/>
                <w:szCs w:val="17"/>
              </w:rPr>
              <w:t>Euro-area €STR OIS curve</w:t>
            </w:r>
          </w:p>
        </w:tc>
        <w:tc>
          <w:tcPr>
            <w:tcW w:w="5616" w:type="dxa"/>
            <w:shd w:val="clear" w:color="auto" w:fill="EEF4FA"/>
            <w:tcMar>
              <w:top w:w="90" w:type="dxa"/>
              <w:left w:w="110" w:type="dxa"/>
              <w:bottom w:w="90" w:type="dxa"/>
              <w:right w:w="110" w:type="dxa"/>
            </w:tcMar>
          </w:tcPr>
          <w:p w14:paraId="18BE6870" w14:textId="77777777" w:rsidR="0022551D" w:rsidRPr="0026149E" w:rsidRDefault="00000000">
            <w:pPr>
              <w:rPr>
                <w:sz w:val="17"/>
                <w:szCs w:val="17"/>
              </w:rPr>
            </w:pPr>
            <w:r w:rsidRPr="0026149E">
              <w:rPr>
                <w:sz w:val="17"/>
                <w:szCs w:val="17"/>
              </w:rPr>
              <w:t>Daily matched par-OIS rate levels at the same 6M, 1Y and 2Y horizons</w:t>
            </w:r>
          </w:p>
        </w:tc>
        <w:tc>
          <w:tcPr>
            <w:tcW w:w="1944" w:type="dxa"/>
            <w:shd w:val="clear" w:color="auto" w:fill="EEF4FA"/>
            <w:tcMar>
              <w:top w:w="90" w:type="dxa"/>
              <w:left w:w="110" w:type="dxa"/>
              <w:bottom w:w="90" w:type="dxa"/>
              <w:right w:w="110" w:type="dxa"/>
            </w:tcMar>
          </w:tcPr>
          <w:p w14:paraId="5BB94955" w14:textId="77777777" w:rsidR="0022551D" w:rsidRPr="0026149E" w:rsidRDefault="00000000">
            <w:pPr>
              <w:rPr>
                <w:sz w:val="17"/>
                <w:szCs w:val="17"/>
              </w:rPr>
            </w:pPr>
            <w:r w:rsidRPr="0026149E">
              <w:rPr>
                <w:sz w:val="17"/>
                <w:szCs w:val="17"/>
              </w:rPr>
              <w:t>Primary source; 2Y retained for robustness</w:t>
            </w:r>
          </w:p>
        </w:tc>
      </w:tr>
      <w:tr w:rsidR="004668C3" w14:paraId="580AF06E" w14:textId="77777777">
        <w:trPr>
          <w:cantSplit/>
          <w:jc w:val="center"/>
        </w:trPr>
        <w:tc>
          <w:tcPr>
            <w:tcW w:w="3096" w:type="dxa"/>
            <w:tcMar>
              <w:top w:w="90" w:type="dxa"/>
              <w:left w:w="110" w:type="dxa"/>
              <w:bottom w:w="90" w:type="dxa"/>
              <w:right w:w="110" w:type="dxa"/>
            </w:tcMar>
          </w:tcPr>
          <w:p w14:paraId="07EE9E4F" w14:textId="77777777" w:rsidR="0022551D" w:rsidRPr="0026149E" w:rsidRDefault="00000000">
            <w:pPr>
              <w:rPr>
                <w:sz w:val="17"/>
                <w:szCs w:val="17"/>
              </w:rPr>
            </w:pPr>
            <w:r w:rsidRPr="0026149E">
              <w:rPr>
                <w:sz w:val="17"/>
                <w:szCs w:val="17"/>
              </w:rPr>
              <w:t>UK-minus-EA OIS differential by horizon</w:t>
            </w:r>
          </w:p>
        </w:tc>
        <w:tc>
          <w:tcPr>
            <w:tcW w:w="5616" w:type="dxa"/>
            <w:tcMar>
              <w:top w:w="90" w:type="dxa"/>
              <w:left w:w="110" w:type="dxa"/>
              <w:bottom w:w="90" w:type="dxa"/>
              <w:right w:w="110" w:type="dxa"/>
            </w:tcMar>
          </w:tcPr>
          <w:p w14:paraId="683BFE69" w14:textId="77777777" w:rsidR="0022551D" w:rsidRPr="0026149E" w:rsidRDefault="00000000">
            <w:pPr>
              <w:rPr>
                <w:sz w:val="17"/>
                <w:szCs w:val="17"/>
              </w:rPr>
            </w:pPr>
            <w:r w:rsidRPr="0026149E">
              <w:rPr>
                <w:sz w:val="17"/>
                <w:szCs w:val="17"/>
              </w:rPr>
              <w:t>Dₕ,t = UK OISₕ,t − EA OISₕ,t; relative policy-path level at each matched tenor</w:t>
            </w:r>
          </w:p>
        </w:tc>
        <w:tc>
          <w:tcPr>
            <w:tcW w:w="1944" w:type="dxa"/>
            <w:tcMar>
              <w:top w:w="90" w:type="dxa"/>
              <w:left w:w="110" w:type="dxa"/>
              <w:bottom w:w="90" w:type="dxa"/>
              <w:right w:w="110" w:type="dxa"/>
            </w:tcMar>
          </w:tcPr>
          <w:p w14:paraId="609BE772" w14:textId="77777777" w:rsidR="0022551D" w:rsidRPr="0026149E" w:rsidRDefault="00000000">
            <w:pPr>
              <w:rPr>
                <w:sz w:val="17"/>
                <w:szCs w:val="17"/>
              </w:rPr>
            </w:pPr>
            <w:r w:rsidRPr="0026149E">
              <w:rPr>
                <w:sz w:val="17"/>
                <w:szCs w:val="17"/>
              </w:rPr>
              <w:t>Diagnostic / level-only benchmark</w:t>
            </w:r>
          </w:p>
        </w:tc>
      </w:tr>
      <w:tr w:rsidR="004668C3" w14:paraId="0999A9FE" w14:textId="77777777">
        <w:trPr>
          <w:cantSplit/>
          <w:jc w:val="center"/>
        </w:trPr>
        <w:tc>
          <w:tcPr>
            <w:tcW w:w="3096" w:type="dxa"/>
            <w:shd w:val="clear" w:color="auto" w:fill="EEF4FA"/>
            <w:tcMar>
              <w:top w:w="90" w:type="dxa"/>
              <w:left w:w="110" w:type="dxa"/>
              <w:bottom w:w="90" w:type="dxa"/>
              <w:right w:w="110" w:type="dxa"/>
            </w:tcMar>
          </w:tcPr>
          <w:p w14:paraId="36B69B01" w14:textId="77777777" w:rsidR="0022551D" w:rsidRPr="0026149E" w:rsidRDefault="00000000">
            <w:pPr>
              <w:rPr>
                <w:sz w:val="17"/>
                <w:szCs w:val="17"/>
              </w:rPr>
            </w:pPr>
            <w:r w:rsidRPr="0026149E">
              <w:rPr>
                <w:sz w:val="17"/>
                <w:szCs w:val="17"/>
              </w:rPr>
              <w:t>1-week and 4-week changes in 6M and 1Y differentials</w:t>
            </w:r>
          </w:p>
        </w:tc>
        <w:tc>
          <w:tcPr>
            <w:tcW w:w="5616" w:type="dxa"/>
            <w:shd w:val="clear" w:color="auto" w:fill="EEF4FA"/>
            <w:tcMar>
              <w:top w:w="90" w:type="dxa"/>
              <w:left w:w="110" w:type="dxa"/>
              <w:bottom w:w="90" w:type="dxa"/>
              <w:right w:w="110" w:type="dxa"/>
            </w:tcMar>
          </w:tcPr>
          <w:p w14:paraId="1665568C" w14:textId="77777777" w:rsidR="0022551D" w:rsidRPr="0026149E" w:rsidRDefault="00000000">
            <w:pPr>
              <w:rPr>
                <w:sz w:val="17"/>
                <w:szCs w:val="17"/>
              </w:rPr>
            </w:pPr>
            <w:r w:rsidRPr="0026149E">
              <w:rPr>
                <w:sz w:val="17"/>
                <w:szCs w:val="17"/>
              </w:rPr>
              <w:t>Fresh relative repricing: which policy path has moved more hawkishly or dovishly?</w:t>
            </w:r>
          </w:p>
        </w:tc>
        <w:tc>
          <w:tcPr>
            <w:tcW w:w="1944" w:type="dxa"/>
            <w:shd w:val="clear" w:color="auto" w:fill="EEF4FA"/>
            <w:tcMar>
              <w:top w:w="90" w:type="dxa"/>
              <w:left w:w="110" w:type="dxa"/>
              <w:bottom w:w="90" w:type="dxa"/>
              <w:right w:w="110" w:type="dxa"/>
            </w:tcMar>
          </w:tcPr>
          <w:p w14:paraId="48B602E3" w14:textId="77777777" w:rsidR="0022551D" w:rsidRPr="0026149E" w:rsidRDefault="00000000">
            <w:pPr>
              <w:rPr>
                <w:sz w:val="17"/>
                <w:szCs w:val="17"/>
              </w:rPr>
            </w:pPr>
            <w:r w:rsidRPr="0026149E">
              <w:rPr>
                <w:sz w:val="17"/>
                <w:szCs w:val="17"/>
              </w:rPr>
              <w:t>Primary signal components</w:t>
            </w:r>
          </w:p>
        </w:tc>
      </w:tr>
      <w:tr w:rsidR="004668C3" w14:paraId="60079375" w14:textId="77777777">
        <w:trPr>
          <w:cantSplit/>
          <w:jc w:val="center"/>
        </w:trPr>
        <w:tc>
          <w:tcPr>
            <w:tcW w:w="3096" w:type="dxa"/>
            <w:tcMar>
              <w:top w:w="90" w:type="dxa"/>
              <w:left w:w="110" w:type="dxa"/>
              <w:bottom w:w="90" w:type="dxa"/>
              <w:right w:w="110" w:type="dxa"/>
            </w:tcMar>
          </w:tcPr>
          <w:p w14:paraId="671B1B7C" w14:textId="77777777" w:rsidR="004668C3" w:rsidRPr="0026149E" w:rsidRDefault="00000000">
            <w:pPr>
              <w:spacing w:after="0"/>
              <w:rPr>
                <w:sz w:val="17"/>
                <w:szCs w:val="17"/>
              </w:rPr>
            </w:pPr>
            <w:r w:rsidRPr="0026149E">
              <w:rPr>
                <w:sz w:val="17"/>
                <w:szCs w:val="17"/>
              </w:rPr>
              <w:t>Actual 1M forward points / rate differential</w:t>
            </w:r>
          </w:p>
        </w:tc>
        <w:tc>
          <w:tcPr>
            <w:tcW w:w="5616" w:type="dxa"/>
            <w:tcMar>
              <w:top w:w="90" w:type="dxa"/>
              <w:left w:w="110" w:type="dxa"/>
              <w:bottom w:w="90" w:type="dxa"/>
              <w:right w:w="110" w:type="dxa"/>
            </w:tcMar>
          </w:tcPr>
          <w:p w14:paraId="15FA5651" w14:textId="77777777" w:rsidR="004668C3" w:rsidRPr="0026149E" w:rsidRDefault="00000000">
            <w:pPr>
              <w:spacing w:after="0"/>
              <w:rPr>
                <w:sz w:val="17"/>
                <w:szCs w:val="17"/>
              </w:rPr>
            </w:pPr>
            <w:r w:rsidRPr="0026149E">
              <w:rPr>
                <w:sz w:val="17"/>
                <w:szCs w:val="17"/>
              </w:rPr>
              <w:t>Carry earned or paid by the FX expression</w:t>
            </w:r>
          </w:p>
        </w:tc>
        <w:tc>
          <w:tcPr>
            <w:tcW w:w="1944" w:type="dxa"/>
            <w:tcMar>
              <w:top w:w="90" w:type="dxa"/>
              <w:left w:w="110" w:type="dxa"/>
              <w:bottom w:w="90" w:type="dxa"/>
              <w:right w:w="110" w:type="dxa"/>
            </w:tcMar>
          </w:tcPr>
          <w:p w14:paraId="3FCE14FA" w14:textId="77777777" w:rsidR="0022551D" w:rsidRPr="0026149E" w:rsidRDefault="00000000">
            <w:pPr>
              <w:rPr>
                <w:sz w:val="17"/>
                <w:szCs w:val="17"/>
              </w:rPr>
            </w:pPr>
            <w:r w:rsidRPr="0026149E">
              <w:rPr>
                <w:sz w:val="17"/>
                <w:szCs w:val="17"/>
              </w:rPr>
              <w:t>Report separately; benchmark / optional later extension</w:t>
            </w:r>
          </w:p>
        </w:tc>
      </w:tr>
      <w:tr w:rsidR="004668C3" w14:paraId="6AE735C4" w14:textId="77777777">
        <w:trPr>
          <w:cantSplit/>
          <w:jc w:val="center"/>
        </w:trPr>
        <w:tc>
          <w:tcPr>
            <w:tcW w:w="3096" w:type="dxa"/>
            <w:shd w:val="clear" w:color="auto" w:fill="EEF4FA"/>
            <w:tcMar>
              <w:top w:w="90" w:type="dxa"/>
              <w:left w:w="110" w:type="dxa"/>
              <w:bottom w:w="90" w:type="dxa"/>
              <w:right w:w="110" w:type="dxa"/>
            </w:tcMar>
          </w:tcPr>
          <w:p w14:paraId="1DB0EB23" w14:textId="77777777" w:rsidR="004668C3" w:rsidRPr="0026149E" w:rsidRDefault="00000000">
            <w:pPr>
              <w:spacing w:after="0"/>
              <w:rPr>
                <w:sz w:val="17"/>
                <w:szCs w:val="17"/>
              </w:rPr>
            </w:pPr>
            <w:r w:rsidRPr="0026149E">
              <w:rPr>
                <w:sz w:val="17"/>
                <w:szCs w:val="17"/>
              </w:rPr>
              <w:t>Past EUR/GBP return</w:t>
            </w:r>
          </w:p>
        </w:tc>
        <w:tc>
          <w:tcPr>
            <w:tcW w:w="5616" w:type="dxa"/>
            <w:shd w:val="clear" w:color="auto" w:fill="EEF4FA"/>
            <w:tcMar>
              <w:top w:w="90" w:type="dxa"/>
              <w:left w:w="110" w:type="dxa"/>
              <w:bottom w:w="90" w:type="dxa"/>
              <w:right w:w="110" w:type="dxa"/>
            </w:tcMar>
          </w:tcPr>
          <w:p w14:paraId="27396C51" w14:textId="77777777" w:rsidR="004668C3" w:rsidRPr="0026149E" w:rsidRDefault="00000000">
            <w:pPr>
              <w:spacing w:after="0"/>
              <w:rPr>
                <w:sz w:val="17"/>
                <w:szCs w:val="17"/>
              </w:rPr>
            </w:pPr>
            <w:r w:rsidRPr="0026149E">
              <w:rPr>
                <w:sz w:val="17"/>
                <w:szCs w:val="17"/>
              </w:rPr>
              <w:t>Price trend</w:t>
            </w:r>
          </w:p>
        </w:tc>
        <w:tc>
          <w:tcPr>
            <w:tcW w:w="1944" w:type="dxa"/>
            <w:shd w:val="clear" w:color="auto" w:fill="EEF4FA"/>
            <w:tcMar>
              <w:top w:w="90" w:type="dxa"/>
              <w:left w:w="110" w:type="dxa"/>
              <w:bottom w:w="90" w:type="dxa"/>
              <w:right w:w="110" w:type="dxa"/>
            </w:tcMar>
          </w:tcPr>
          <w:p w14:paraId="60FD27A8" w14:textId="77777777" w:rsidR="0022551D" w:rsidRPr="0026149E" w:rsidRDefault="00000000">
            <w:pPr>
              <w:rPr>
                <w:sz w:val="17"/>
                <w:szCs w:val="17"/>
              </w:rPr>
            </w:pPr>
            <w:r w:rsidRPr="0026149E">
              <w:rPr>
                <w:sz w:val="17"/>
                <w:szCs w:val="17"/>
              </w:rPr>
              <w:t>Benchmark / diagnostic only</w:t>
            </w:r>
          </w:p>
        </w:tc>
      </w:tr>
      <w:tr w:rsidR="004668C3" w14:paraId="58307DF1" w14:textId="77777777">
        <w:trPr>
          <w:cantSplit/>
          <w:jc w:val="center"/>
        </w:trPr>
        <w:tc>
          <w:tcPr>
            <w:tcW w:w="3096" w:type="dxa"/>
            <w:tcMar>
              <w:top w:w="90" w:type="dxa"/>
              <w:left w:w="110" w:type="dxa"/>
              <w:bottom w:w="90" w:type="dxa"/>
              <w:right w:w="110" w:type="dxa"/>
            </w:tcMar>
          </w:tcPr>
          <w:p w14:paraId="430682F5" w14:textId="77777777" w:rsidR="004668C3" w:rsidRPr="0026149E" w:rsidRDefault="00000000">
            <w:pPr>
              <w:spacing w:after="0"/>
              <w:rPr>
                <w:sz w:val="17"/>
                <w:szCs w:val="17"/>
              </w:rPr>
            </w:pPr>
            <w:r w:rsidRPr="0026149E">
              <w:rPr>
                <w:sz w:val="17"/>
                <w:szCs w:val="17"/>
              </w:rPr>
              <w:t>Gilt–German yield spreads</w:t>
            </w:r>
          </w:p>
        </w:tc>
        <w:tc>
          <w:tcPr>
            <w:tcW w:w="5616" w:type="dxa"/>
            <w:tcMar>
              <w:top w:w="90" w:type="dxa"/>
              <w:left w:w="110" w:type="dxa"/>
              <w:bottom w:w="90" w:type="dxa"/>
              <w:right w:w="110" w:type="dxa"/>
            </w:tcMar>
          </w:tcPr>
          <w:p w14:paraId="6BDADA47" w14:textId="77777777" w:rsidR="004668C3" w:rsidRPr="0026149E" w:rsidRDefault="00000000">
            <w:pPr>
              <w:spacing w:after="0"/>
              <w:rPr>
                <w:sz w:val="17"/>
                <w:szCs w:val="17"/>
              </w:rPr>
            </w:pPr>
            <w:r w:rsidRPr="0026149E">
              <w:rPr>
                <w:sz w:val="17"/>
                <w:szCs w:val="17"/>
              </w:rPr>
              <w:t>Broader market description / alternative signal check</w:t>
            </w:r>
          </w:p>
        </w:tc>
        <w:tc>
          <w:tcPr>
            <w:tcW w:w="1944" w:type="dxa"/>
            <w:tcMar>
              <w:top w:w="90" w:type="dxa"/>
              <w:left w:w="110" w:type="dxa"/>
              <w:bottom w:w="90" w:type="dxa"/>
              <w:right w:w="110" w:type="dxa"/>
            </w:tcMar>
          </w:tcPr>
          <w:p w14:paraId="45F4B780" w14:textId="77777777" w:rsidR="0022551D" w:rsidRPr="0026149E" w:rsidRDefault="00000000">
            <w:pPr>
              <w:rPr>
                <w:sz w:val="17"/>
                <w:szCs w:val="17"/>
              </w:rPr>
            </w:pPr>
            <w:r w:rsidRPr="0026149E">
              <w:rPr>
                <w:sz w:val="17"/>
                <w:szCs w:val="17"/>
              </w:rPr>
              <w:t>Diagnostic / secondary specification only</w:t>
            </w:r>
          </w:p>
        </w:tc>
      </w:tr>
    </w:tbl>
    <w:p w14:paraId="575C7B96" w14:textId="77777777" w:rsidR="0022551D" w:rsidRDefault="00000000">
      <w:r>
        <w:t>Data representation and diagnostics. Store the raw daily 6M, 1Y and 2Y OIS rate levels, each matched UK-minus-EA differential, its 1-week and 4-week changes, and the standardized components used in the weekly signal. These are rate observations, not asset returns. Bank Rate, the ECB deposit facility rate, EUR/GBP spot and gilt/Bund yields can be retained as context or diagnostics, but they do not enter the primary signal.</w:t>
      </w:r>
    </w:p>
    <w:p w14:paraId="11FE1F0F" w14:textId="77777777" w:rsidR="0022551D" w:rsidRDefault="00000000">
      <w:r>
        <w:t>OIS-curve object and continuity. Bootstrapped OIS forward-curve nodes are conceptually closer to the market-implied overnight rate at a particular future date, but matched par-OIS tenors are the working primary implementation because they are simpler to observe, explain and reproduce; forward-curve nodes may be used as an optional validation if a clean history is available. Euro-area history also crosses the EONIA-to-€STR benchmark transition: prefer one source with a documented continuous history; if a splice is required, document and reconcile it explicitly and do not let a 1-week or 4-week change straddle an artificial break. If a clean mapping is not defensible, use the clean comparable post-transition sample rather than silently joining incompatible series.</w:t>
      </w:r>
    </w:p>
    <w:p w14:paraId="5CFA35B3" w14:textId="77777777" w:rsidR="004668C3" w:rsidRDefault="004668C3">
      <w:pPr>
        <w:spacing w:after="100"/>
      </w:pPr>
    </w:p>
    <w:p w14:paraId="05EAF729" w14:textId="77777777" w:rsidR="004668C3" w:rsidRDefault="00000000">
      <w:pPr>
        <w:pStyle w:val="Heading2"/>
      </w:pPr>
      <w:r>
        <w:rPr>
          <w:rFonts w:ascii="Aptos" w:eastAsia="Aptos" w:hAnsi="Aptos"/>
          <w:b w:val="0"/>
        </w:rPr>
        <w:t>3.2 Recommended signal construction</w:t>
      </w:r>
    </w:p>
    <w:p w14:paraId="22189F49" w14:textId="77777777" w:rsidR="004668C3" w:rsidRDefault="00000000">
      <w:pPr>
        <w:spacing w:after="100"/>
      </w:pPr>
      <w:r>
        <w:t>Working primary specification: use recent changes in the matched UK-minus-euro-area 6M and 1Y OIS differentials. This targets the coming policy cycle while avoiding both very-near-meeting noise at the shortest tenors and greater longer-horizon contamination farther out. The 2Y OIS differential is retained as the principal pre-specified horizon robustness test rather than included automatically in the headline composite.</w:t>
      </w:r>
    </w:p>
    <w:p w14:paraId="25A3809F" w14:textId="77777777" w:rsidR="004668C3" w:rsidRDefault="00000000">
      <w:pPr>
        <w:spacing w:before="80" w:after="100"/>
        <w:jc w:val="center"/>
      </w:pPr>
      <w:r>
        <w:t>Dₕ,t = UK OISₕ,t − euro-area OISₕ,t, for h ∈ {6M, 1Y}</w:t>
      </w:r>
    </w:p>
    <w:p w14:paraId="0C8A2A15" w14:textId="77777777" w:rsidR="004668C3" w:rsidRDefault="00000000">
      <w:pPr>
        <w:spacing w:before="80" w:after="100"/>
        <w:jc w:val="center"/>
      </w:pPr>
      <w:r>
        <w:t>Δ₁wDₕ,t = Dₕ,t − Dₕ,t−1w     and     Δ₄wDₕ,t = Dₕ,t − Dₕ,t−4w</w:t>
      </w:r>
    </w:p>
    <w:p w14:paraId="2B7D24B2" w14:textId="77777777" w:rsidR="004668C3" w:rsidRDefault="00000000">
      <w:pPr>
        <w:spacing w:after="100"/>
      </w:pPr>
      <w:r>
        <w:t>Standardise the four repricing components using only information available at the time and combine them with fixed equal weights: Sₜ = ¼[z(Δ₁wD₆M) + z(Δ₄wD₆M) + z(Δ₁wD₁Y) + z(Δ₄wD₁Y)]. Positive Sₜ means the UK has repriced relatively hawkishly; negative means relatively dovishly. Keep the OIS differential level outside the primary composite as a level-only benchmark. For the 2Y robustness specification, apply the same 1-week / 4-week repricing logic to D₂Y rather than choosing the better-performing horizon after the fact.</w:t>
      </w:r>
    </w:p>
    <w:tbl>
      <w:tblPr>
        <w:tblW w:w="0" w:type="auto"/>
        <w:jc w:val="center"/>
        <w:tblLook w:val="04A0" w:firstRow="1" w:lastRow="0" w:firstColumn="1" w:lastColumn="0" w:noHBand="0" w:noVBand="1"/>
      </w:tblPr>
      <w:tblGrid>
        <w:gridCol w:w="10166"/>
      </w:tblGrid>
      <w:tr w:rsidR="004668C3" w14:paraId="3B6BB614" w14:textId="77777777">
        <w:trPr>
          <w:cantSplit/>
          <w:jc w:val="center"/>
        </w:trPr>
        <w:tc>
          <w:tcPr>
            <w:tcW w:w="10166" w:type="dxa"/>
            <w:shd w:val="clear" w:color="auto" w:fill="E2F0D9"/>
            <w:tcMar>
              <w:top w:w="130" w:type="dxa"/>
              <w:left w:w="170" w:type="dxa"/>
              <w:bottom w:w="130" w:type="dxa"/>
              <w:right w:w="170" w:type="dxa"/>
            </w:tcMar>
          </w:tcPr>
          <w:p w14:paraId="7AF59BEC" w14:textId="77777777" w:rsidR="0022551D" w:rsidRDefault="00000000">
            <w:r>
              <w:lastRenderedPageBreak/>
              <w:t>Illustrative weekly signal</w:t>
            </w:r>
            <w:r>
              <w:br/>
              <w:t>Suppose over the latest week the UK-minus-EA 6M differential widens by 12 bp and the 1Y differential widens by 9 bp, while their four-week changes are also positive. After lagged standardisation, the equal-weight composite Sₜ is positive: the UK short-end policy path has repriced relatively hawkishly. That single weekly signal maps into long GBP / short EUR, short UK / long German 2Y and 10Y duration, the pre-specified relative UK-flattener curve trade, and the same signed exposures inside the approved basket.</w:t>
            </w:r>
          </w:p>
        </w:tc>
      </w:tr>
    </w:tbl>
    <w:p w14:paraId="2E34F528" w14:textId="77777777" w:rsidR="004668C3" w:rsidRDefault="004668C3">
      <w:pPr>
        <w:spacing w:after="100"/>
      </w:pPr>
    </w:p>
    <w:p w14:paraId="40ADDBD8" w14:textId="77777777" w:rsidR="004668C3" w:rsidRDefault="00000000">
      <w:pPr>
        <w:pStyle w:val="Heading2"/>
      </w:pPr>
      <w:r>
        <w:rPr>
          <w:rFonts w:ascii="Aptos" w:eastAsia="Aptos" w:hAnsi="Aptos"/>
          <w:b w:val="0"/>
        </w:rPr>
        <w:t>3.3 Signal data versus traded assets</w:t>
      </w:r>
    </w:p>
    <w:p w14:paraId="68D7BEEA" w14:textId="77777777" w:rsidR="004668C3" w:rsidRDefault="00000000">
      <w:pPr>
        <w:spacing w:after="100"/>
      </w:pPr>
      <w:r>
        <w:t>The OIS curves define the economic view; the approved expressions generate the strategy returns. Module A produces one scalar signal Sₜ each week and applies that same sign and strength across every approved sleeve, so the comparison changes the trade expression rather than the forecasting model. Asset-specific volatility/DV01 scaling changes position size, not the underlying signal.</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2880"/>
        <w:gridCol w:w="3240"/>
        <w:gridCol w:w="4536"/>
      </w:tblGrid>
      <w:tr w:rsidR="004668C3" w14:paraId="1CB095DE" w14:textId="77777777">
        <w:trPr>
          <w:cantSplit/>
          <w:tblHeader/>
          <w:jc w:val="center"/>
        </w:trPr>
        <w:tc>
          <w:tcPr>
            <w:tcW w:w="2880" w:type="dxa"/>
            <w:shd w:val="clear" w:color="auto" w:fill="17365D"/>
            <w:tcMar>
              <w:top w:w="90" w:type="dxa"/>
              <w:left w:w="110" w:type="dxa"/>
              <w:bottom w:w="90" w:type="dxa"/>
              <w:right w:w="110" w:type="dxa"/>
            </w:tcMar>
            <w:vAlign w:val="center"/>
          </w:tcPr>
          <w:p w14:paraId="37C401DB" w14:textId="77777777" w:rsidR="004668C3" w:rsidRDefault="00000000">
            <w:r>
              <w:rPr>
                <w:b/>
                <w:color w:val="FFFFFF"/>
                <w:sz w:val="17"/>
              </w:rPr>
              <w:t>Object</w:t>
            </w:r>
          </w:p>
        </w:tc>
        <w:tc>
          <w:tcPr>
            <w:tcW w:w="3240" w:type="dxa"/>
            <w:shd w:val="clear" w:color="auto" w:fill="17365D"/>
            <w:tcMar>
              <w:top w:w="90" w:type="dxa"/>
              <w:left w:w="110" w:type="dxa"/>
              <w:bottom w:w="90" w:type="dxa"/>
              <w:right w:w="110" w:type="dxa"/>
            </w:tcMar>
            <w:vAlign w:val="center"/>
          </w:tcPr>
          <w:p w14:paraId="75880925" w14:textId="77777777" w:rsidR="004668C3" w:rsidRDefault="00000000">
            <w:r>
              <w:rPr>
                <w:b/>
                <w:color w:val="FFFFFF"/>
                <w:sz w:val="17"/>
              </w:rPr>
              <w:t>Role</w:t>
            </w:r>
          </w:p>
        </w:tc>
        <w:tc>
          <w:tcPr>
            <w:tcW w:w="4536" w:type="dxa"/>
            <w:shd w:val="clear" w:color="auto" w:fill="17365D"/>
            <w:tcMar>
              <w:top w:w="90" w:type="dxa"/>
              <w:left w:w="110" w:type="dxa"/>
              <w:bottom w:w="90" w:type="dxa"/>
              <w:right w:w="110" w:type="dxa"/>
            </w:tcMar>
            <w:vAlign w:val="center"/>
          </w:tcPr>
          <w:p w14:paraId="7ED3C16E" w14:textId="77777777" w:rsidR="004668C3" w:rsidRDefault="00000000">
            <w:r>
              <w:rPr>
                <w:b/>
                <w:color w:val="FFFFFF"/>
                <w:sz w:val="17"/>
              </w:rPr>
              <w:t>Example</w:t>
            </w:r>
          </w:p>
        </w:tc>
      </w:tr>
      <w:tr w:rsidR="004668C3" w14:paraId="24088BF5" w14:textId="77777777">
        <w:trPr>
          <w:cantSplit/>
          <w:jc w:val="center"/>
        </w:trPr>
        <w:tc>
          <w:tcPr>
            <w:tcW w:w="2880" w:type="dxa"/>
            <w:tcMar>
              <w:top w:w="90" w:type="dxa"/>
              <w:left w:w="110" w:type="dxa"/>
              <w:bottom w:w="90" w:type="dxa"/>
              <w:right w:w="110" w:type="dxa"/>
            </w:tcMar>
          </w:tcPr>
          <w:p w14:paraId="3D7237B2" w14:textId="77777777" w:rsidR="0022551D" w:rsidRPr="0026149E" w:rsidRDefault="00000000">
            <w:pPr>
              <w:rPr>
                <w:sz w:val="17"/>
                <w:szCs w:val="17"/>
              </w:rPr>
            </w:pPr>
            <w:r w:rsidRPr="0026149E">
              <w:rPr>
                <w:sz w:val="17"/>
                <w:szCs w:val="17"/>
              </w:rPr>
              <w:t>6M / 1Y OIS differentials and recent changes</w:t>
            </w:r>
          </w:p>
        </w:tc>
        <w:tc>
          <w:tcPr>
            <w:tcW w:w="3240" w:type="dxa"/>
            <w:tcMar>
              <w:top w:w="90" w:type="dxa"/>
              <w:left w:w="110" w:type="dxa"/>
              <w:bottom w:w="90" w:type="dxa"/>
              <w:right w:w="110" w:type="dxa"/>
            </w:tcMar>
          </w:tcPr>
          <w:p w14:paraId="61CF7D88" w14:textId="77777777" w:rsidR="0022551D" w:rsidRPr="0026149E" w:rsidRDefault="00000000">
            <w:pPr>
              <w:rPr>
                <w:sz w:val="17"/>
                <w:szCs w:val="17"/>
              </w:rPr>
            </w:pPr>
            <w:r w:rsidRPr="0026149E">
              <w:rPr>
                <w:sz w:val="17"/>
                <w:szCs w:val="17"/>
              </w:rPr>
              <w:t>Signal — decides weekly direction and strength</w:t>
            </w:r>
          </w:p>
        </w:tc>
        <w:tc>
          <w:tcPr>
            <w:tcW w:w="4536" w:type="dxa"/>
            <w:tcMar>
              <w:top w:w="90" w:type="dxa"/>
              <w:left w:w="110" w:type="dxa"/>
              <w:bottom w:w="90" w:type="dxa"/>
              <w:right w:w="110" w:type="dxa"/>
            </w:tcMar>
          </w:tcPr>
          <w:p w14:paraId="700FAA63" w14:textId="77777777" w:rsidR="0022551D" w:rsidRPr="0026149E" w:rsidRDefault="00000000">
            <w:pPr>
              <w:rPr>
                <w:sz w:val="17"/>
                <w:szCs w:val="17"/>
              </w:rPr>
            </w:pPr>
            <w:r w:rsidRPr="0026149E">
              <w:rPr>
                <w:sz w:val="17"/>
                <w:szCs w:val="17"/>
              </w:rPr>
              <w:t>Positive composite = UK short-end policy path has repriced relatively hawkishly</w:t>
            </w:r>
          </w:p>
        </w:tc>
      </w:tr>
      <w:tr w:rsidR="004668C3" w14:paraId="6B08B5A8" w14:textId="77777777">
        <w:trPr>
          <w:cantSplit/>
          <w:jc w:val="center"/>
        </w:trPr>
        <w:tc>
          <w:tcPr>
            <w:tcW w:w="2880" w:type="dxa"/>
            <w:shd w:val="clear" w:color="auto" w:fill="EEF4FA"/>
            <w:tcMar>
              <w:top w:w="90" w:type="dxa"/>
              <w:left w:w="110" w:type="dxa"/>
              <w:bottom w:w="90" w:type="dxa"/>
              <w:right w:w="110" w:type="dxa"/>
            </w:tcMar>
          </w:tcPr>
          <w:p w14:paraId="76EDF05F" w14:textId="77777777" w:rsidR="004668C3" w:rsidRPr="0026149E" w:rsidRDefault="00000000">
            <w:pPr>
              <w:spacing w:after="0"/>
              <w:rPr>
                <w:sz w:val="17"/>
                <w:szCs w:val="17"/>
              </w:rPr>
            </w:pPr>
            <w:r w:rsidRPr="0026149E">
              <w:rPr>
                <w:sz w:val="17"/>
                <w:szCs w:val="17"/>
              </w:rPr>
              <w:t>One-month GBP/EUR forward</w:t>
            </w:r>
          </w:p>
        </w:tc>
        <w:tc>
          <w:tcPr>
            <w:tcW w:w="3240" w:type="dxa"/>
            <w:shd w:val="clear" w:color="auto" w:fill="EEF4FA"/>
            <w:tcMar>
              <w:top w:w="90" w:type="dxa"/>
              <w:left w:w="110" w:type="dxa"/>
              <w:bottom w:w="90" w:type="dxa"/>
              <w:right w:w="110" w:type="dxa"/>
            </w:tcMar>
          </w:tcPr>
          <w:p w14:paraId="212B5976" w14:textId="77777777" w:rsidR="004668C3" w:rsidRPr="0026149E" w:rsidRDefault="00000000">
            <w:pPr>
              <w:spacing w:after="0"/>
              <w:rPr>
                <w:sz w:val="17"/>
                <w:szCs w:val="17"/>
              </w:rPr>
            </w:pPr>
            <w:r w:rsidRPr="0026149E">
              <w:rPr>
                <w:sz w:val="17"/>
                <w:szCs w:val="17"/>
              </w:rPr>
              <w:t>Trade — earns FX P&amp;L</w:t>
            </w:r>
          </w:p>
        </w:tc>
        <w:tc>
          <w:tcPr>
            <w:tcW w:w="4536" w:type="dxa"/>
            <w:shd w:val="clear" w:color="auto" w:fill="EEF4FA"/>
            <w:tcMar>
              <w:top w:w="90" w:type="dxa"/>
              <w:left w:w="110" w:type="dxa"/>
              <w:bottom w:w="90" w:type="dxa"/>
              <w:right w:w="110" w:type="dxa"/>
            </w:tcMar>
          </w:tcPr>
          <w:p w14:paraId="1713BB64" w14:textId="77777777" w:rsidR="004668C3" w:rsidRPr="0026149E" w:rsidRDefault="00000000">
            <w:pPr>
              <w:spacing w:after="0"/>
              <w:rPr>
                <w:sz w:val="17"/>
                <w:szCs w:val="17"/>
              </w:rPr>
            </w:pPr>
            <w:r w:rsidRPr="0026149E">
              <w:rPr>
                <w:sz w:val="17"/>
                <w:szCs w:val="17"/>
              </w:rPr>
              <w:t>Positive signal → long GBP forward / short EUR forward</w:t>
            </w:r>
          </w:p>
        </w:tc>
      </w:tr>
      <w:tr w:rsidR="004668C3" w14:paraId="5EE9D84F" w14:textId="77777777">
        <w:trPr>
          <w:cantSplit/>
          <w:jc w:val="center"/>
        </w:trPr>
        <w:tc>
          <w:tcPr>
            <w:tcW w:w="2880" w:type="dxa"/>
            <w:tcMar>
              <w:top w:w="90" w:type="dxa"/>
              <w:left w:w="110" w:type="dxa"/>
              <w:bottom w:w="90" w:type="dxa"/>
              <w:right w:w="110" w:type="dxa"/>
            </w:tcMar>
          </w:tcPr>
          <w:p w14:paraId="482DCF10" w14:textId="77777777" w:rsidR="004668C3" w:rsidRPr="0026149E" w:rsidRDefault="00000000">
            <w:pPr>
              <w:spacing w:after="0"/>
              <w:rPr>
                <w:sz w:val="17"/>
                <w:szCs w:val="17"/>
              </w:rPr>
            </w:pPr>
            <w:r w:rsidRPr="0026149E">
              <w:rPr>
                <w:sz w:val="17"/>
                <w:szCs w:val="17"/>
              </w:rPr>
              <w:t>UK–Germany 2Y rates spread</w:t>
            </w:r>
          </w:p>
        </w:tc>
        <w:tc>
          <w:tcPr>
            <w:tcW w:w="3240" w:type="dxa"/>
            <w:tcMar>
              <w:top w:w="90" w:type="dxa"/>
              <w:left w:w="110" w:type="dxa"/>
              <w:bottom w:w="90" w:type="dxa"/>
              <w:right w:w="110" w:type="dxa"/>
            </w:tcMar>
          </w:tcPr>
          <w:p w14:paraId="206D7B58" w14:textId="77777777" w:rsidR="004668C3" w:rsidRPr="0026149E" w:rsidRDefault="00000000">
            <w:pPr>
              <w:spacing w:after="0"/>
              <w:rPr>
                <w:sz w:val="17"/>
                <w:szCs w:val="17"/>
              </w:rPr>
            </w:pPr>
            <w:r w:rsidRPr="0026149E">
              <w:rPr>
                <w:sz w:val="17"/>
                <w:szCs w:val="17"/>
              </w:rPr>
              <w:t>Trade — earns relative short-rate P&amp;L</w:t>
            </w:r>
          </w:p>
        </w:tc>
        <w:tc>
          <w:tcPr>
            <w:tcW w:w="4536" w:type="dxa"/>
            <w:tcMar>
              <w:top w:w="90" w:type="dxa"/>
              <w:left w:w="110" w:type="dxa"/>
              <w:bottom w:w="90" w:type="dxa"/>
              <w:right w:w="110" w:type="dxa"/>
            </w:tcMar>
          </w:tcPr>
          <w:p w14:paraId="2321B357" w14:textId="77777777" w:rsidR="004668C3" w:rsidRPr="0026149E" w:rsidRDefault="00000000">
            <w:pPr>
              <w:spacing w:after="0"/>
              <w:rPr>
                <w:sz w:val="17"/>
                <w:szCs w:val="17"/>
              </w:rPr>
            </w:pPr>
            <w:r w:rsidRPr="0026149E">
              <w:rPr>
                <w:sz w:val="17"/>
                <w:szCs w:val="17"/>
              </w:rPr>
              <w:t>Positive signal → short UK 2Y duration / long German 2Y duration</w:t>
            </w:r>
          </w:p>
        </w:tc>
      </w:tr>
      <w:tr w:rsidR="004668C3" w14:paraId="2DD4FC79" w14:textId="77777777">
        <w:trPr>
          <w:cantSplit/>
          <w:jc w:val="center"/>
        </w:trPr>
        <w:tc>
          <w:tcPr>
            <w:tcW w:w="2880" w:type="dxa"/>
            <w:shd w:val="clear" w:color="auto" w:fill="EEF4FA"/>
            <w:tcMar>
              <w:top w:w="90" w:type="dxa"/>
              <w:left w:w="110" w:type="dxa"/>
              <w:bottom w:w="90" w:type="dxa"/>
              <w:right w:w="110" w:type="dxa"/>
            </w:tcMar>
          </w:tcPr>
          <w:p w14:paraId="4C1C4862" w14:textId="77777777" w:rsidR="004668C3" w:rsidRPr="0026149E" w:rsidRDefault="00000000">
            <w:pPr>
              <w:spacing w:after="0"/>
              <w:rPr>
                <w:sz w:val="17"/>
                <w:szCs w:val="17"/>
              </w:rPr>
            </w:pPr>
            <w:r w:rsidRPr="0026149E">
              <w:rPr>
                <w:sz w:val="17"/>
                <w:szCs w:val="17"/>
              </w:rPr>
              <w:t>UK–Germany 10Y rates spread</w:t>
            </w:r>
          </w:p>
        </w:tc>
        <w:tc>
          <w:tcPr>
            <w:tcW w:w="3240" w:type="dxa"/>
            <w:shd w:val="clear" w:color="auto" w:fill="EEF4FA"/>
            <w:tcMar>
              <w:top w:w="90" w:type="dxa"/>
              <w:left w:w="110" w:type="dxa"/>
              <w:bottom w:w="90" w:type="dxa"/>
              <w:right w:w="110" w:type="dxa"/>
            </w:tcMar>
          </w:tcPr>
          <w:p w14:paraId="7411B0D7" w14:textId="77777777" w:rsidR="004668C3" w:rsidRPr="0026149E" w:rsidRDefault="00000000">
            <w:pPr>
              <w:spacing w:after="0"/>
              <w:rPr>
                <w:sz w:val="17"/>
                <w:szCs w:val="17"/>
              </w:rPr>
            </w:pPr>
            <w:r w:rsidRPr="0026149E">
              <w:rPr>
                <w:sz w:val="17"/>
                <w:szCs w:val="17"/>
              </w:rPr>
              <w:t>Trade — tests long-end transmission</w:t>
            </w:r>
          </w:p>
        </w:tc>
        <w:tc>
          <w:tcPr>
            <w:tcW w:w="4536" w:type="dxa"/>
            <w:shd w:val="clear" w:color="auto" w:fill="EEF4FA"/>
            <w:tcMar>
              <w:top w:w="90" w:type="dxa"/>
              <w:left w:w="110" w:type="dxa"/>
              <w:bottom w:w="90" w:type="dxa"/>
              <w:right w:w="110" w:type="dxa"/>
            </w:tcMar>
          </w:tcPr>
          <w:p w14:paraId="65BA0EC1" w14:textId="77777777" w:rsidR="0022551D" w:rsidRPr="0026149E" w:rsidRDefault="00000000">
            <w:pPr>
              <w:rPr>
                <w:sz w:val="17"/>
                <w:szCs w:val="17"/>
              </w:rPr>
            </w:pPr>
            <w:r w:rsidRPr="0026149E">
              <w:rPr>
                <w:sz w:val="17"/>
                <w:szCs w:val="17"/>
              </w:rPr>
              <w:t>Positive signal → short UK 10Y duration / long German 10Y duration</w:t>
            </w:r>
          </w:p>
        </w:tc>
      </w:tr>
      <w:tr w:rsidR="004668C3" w14:paraId="44C82B0C" w14:textId="77777777">
        <w:trPr>
          <w:cantSplit/>
          <w:jc w:val="center"/>
        </w:trPr>
        <w:tc>
          <w:tcPr>
            <w:tcW w:w="2880" w:type="dxa"/>
            <w:tcMar>
              <w:top w:w="90" w:type="dxa"/>
              <w:left w:w="110" w:type="dxa"/>
              <w:bottom w:w="90" w:type="dxa"/>
              <w:right w:w="110" w:type="dxa"/>
            </w:tcMar>
          </w:tcPr>
          <w:p w14:paraId="5EE6792F" w14:textId="77777777" w:rsidR="004668C3" w:rsidRPr="0026149E" w:rsidRDefault="00000000">
            <w:pPr>
              <w:spacing w:after="0"/>
              <w:rPr>
                <w:sz w:val="17"/>
                <w:szCs w:val="17"/>
              </w:rPr>
            </w:pPr>
            <w:r w:rsidRPr="0026149E">
              <w:rPr>
                <w:sz w:val="17"/>
                <w:szCs w:val="17"/>
              </w:rPr>
              <w:t>Relative curve trade</w:t>
            </w:r>
          </w:p>
        </w:tc>
        <w:tc>
          <w:tcPr>
            <w:tcW w:w="3240" w:type="dxa"/>
            <w:tcMar>
              <w:top w:w="90" w:type="dxa"/>
              <w:left w:w="110" w:type="dxa"/>
              <w:bottom w:w="90" w:type="dxa"/>
              <w:right w:w="110" w:type="dxa"/>
            </w:tcMar>
          </w:tcPr>
          <w:p w14:paraId="4AC3E800" w14:textId="77777777" w:rsidR="004668C3" w:rsidRPr="0026149E" w:rsidRDefault="00000000">
            <w:pPr>
              <w:spacing w:after="0"/>
              <w:rPr>
                <w:sz w:val="17"/>
                <w:szCs w:val="17"/>
              </w:rPr>
            </w:pPr>
            <w:r w:rsidRPr="0026149E">
              <w:rPr>
                <w:sz w:val="17"/>
                <w:szCs w:val="17"/>
              </w:rPr>
              <w:t>Trade — tests curve-shape transmission</w:t>
            </w:r>
          </w:p>
        </w:tc>
        <w:tc>
          <w:tcPr>
            <w:tcW w:w="4536" w:type="dxa"/>
            <w:tcMar>
              <w:top w:w="90" w:type="dxa"/>
              <w:left w:w="110" w:type="dxa"/>
              <w:bottom w:w="90" w:type="dxa"/>
              <w:right w:w="110" w:type="dxa"/>
            </w:tcMar>
          </w:tcPr>
          <w:p w14:paraId="58A81F5D" w14:textId="77777777" w:rsidR="0022551D" w:rsidRPr="0026149E" w:rsidRDefault="00000000">
            <w:pPr>
              <w:rPr>
                <w:sz w:val="17"/>
                <w:szCs w:val="17"/>
              </w:rPr>
            </w:pPr>
            <w:r w:rsidRPr="0026149E">
              <w:rPr>
                <w:sz w:val="17"/>
                <w:szCs w:val="17"/>
              </w:rPr>
              <w:t>Positive signal → UK 2s10s flattener relative to Germany under the pre-registered Module A hypothesis</w:t>
            </w:r>
          </w:p>
        </w:tc>
      </w:tr>
      <w:tr w:rsidR="0022551D" w14:paraId="2BD08D23" w14:textId="77777777">
        <w:trPr>
          <w:jc w:val="center"/>
        </w:trPr>
        <w:tc>
          <w:tcPr>
            <w:tcW w:w="2880" w:type="dxa"/>
          </w:tcPr>
          <w:p w14:paraId="4E28334A" w14:textId="77777777" w:rsidR="0022551D" w:rsidRPr="0026149E" w:rsidRDefault="00000000">
            <w:pPr>
              <w:rPr>
                <w:sz w:val="17"/>
                <w:szCs w:val="17"/>
              </w:rPr>
            </w:pPr>
            <w:r w:rsidRPr="0026149E">
              <w:rPr>
                <w:sz w:val="17"/>
                <w:szCs w:val="17"/>
              </w:rPr>
              <w:t>Equal-risk rates–FX basket</w:t>
            </w:r>
          </w:p>
        </w:tc>
        <w:tc>
          <w:tcPr>
            <w:tcW w:w="3240" w:type="dxa"/>
          </w:tcPr>
          <w:p w14:paraId="7744861B" w14:textId="77777777" w:rsidR="0022551D" w:rsidRPr="0026149E" w:rsidRDefault="00000000">
            <w:pPr>
              <w:rPr>
                <w:sz w:val="17"/>
                <w:szCs w:val="17"/>
              </w:rPr>
            </w:pPr>
            <w:r w:rsidRPr="0026149E">
              <w:rPr>
                <w:sz w:val="17"/>
                <w:szCs w:val="17"/>
              </w:rPr>
              <w:t>Portfolio expression — combines validated sleeves</w:t>
            </w:r>
          </w:p>
        </w:tc>
        <w:tc>
          <w:tcPr>
            <w:tcW w:w="4536" w:type="dxa"/>
          </w:tcPr>
          <w:p w14:paraId="1AD9AD0D" w14:textId="77777777" w:rsidR="0022551D" w:rsidRPr="0026149E" w:rsidRDefault="00000000">
            <w:pPr>
              <w:rPr>
                <w:sz w:val="17"/>
                <w:szCs w:val="17"/>
              </w:rPr>
            </w:pPr>
            <w:r w:rsidRPr="0026149E">
              <w:rPr>
                <w:sz w:val="17"/>
                <w:szCs w:val="17"/>
              </w:rPr>
              <w:t>Same weekly Sₜ drives all included sleeves; primary basket is FX forward + 2Y spread on an equal-risk basis</w:t>
            </w:r>
          </w:p>
        </w:tc>
      </w:tr>
      <w:tr w:rsidR="004668C3" w14:paraId="617906D6" w14:textId="77777777">
        <w:trPr>
          <w:cantSplit/>
          <w:jc w:val="center"/>
        </w:trPr>
        <w:tc>
          <w:tcPr>
            <w:tcW w:w="2880" w:type="dxa"/>
            <w:shd w:val="clear" w:color="auto" w:fill="EEF4FA"/>
            <w:tcMar>
              <w:top w:w="90" w:type="dxa"/>
              <w:left w:w="110" w:type="dxa"/>
              <w:bottom w:w="90" w:type="dxa"/>
              <w:right w:w="110" w:type="dxa"/>
            </w:tcMar>
          </w:tcPr>
          <w:p w14:paraId="7AC34124" w14:textId="77777777" w:rsidR="004668C3" w:rsidRPr="0026149E" w:rsidRDefault="00000000">
            <w:pPr>
              <w:spacing w:after="0"/>
              <w:rPr>
                <w:sz w:val="17"/>
                <w:szCs w:val="17"/>
              </w:rPr>
            </w:pPr>
            <w:r w:rsidRPr="0026149E">
              <w:rPr>
                <w:sz w:val="17"/>
                <w:szCs w:val="17"/>
              </w:rPr>
              <w:t>EUR/GBP spot</w:t>
            </w:r>
          </w:p>
        </w:tc>
        <w:tc>
          <w:tcPr>
            <w:tcW w:w="3240" w:type="dxa"/>
            <w:shd w:val="clear" w:color="auto" w:fill="EEF4FA"/>
            <w:tcMar>
              <w:top w:w="90" w:type="dxa"/>
              <w:left w:w="110" w:type="dxa"/>
              <w:bottom w:w="90" w:type="dxa"/>
              <w:right w:w="110" w:type="dxa"/>
            </w:tcMar>
          </w:tcPr>
          <w:p w14:paraId="2FA70295" w14:textId="77777777" w:rsidR="004668C3" w:rsidRPr="0026149E" w:rsidRDefault="00000000">
            <w:pPr>
              <w:spacing w:after="0"/>
              <w:rPr>
                <w:sz w:val="17"/>
                <w:szCs w:val="17"/>
              </w:rPr>
            </w:pPr>
            <w:r w:rsidRPr="0026149E">
              <w:rPr>
                <w:sz w:val="17"/>
                <w:szCs w:val="17"/>
              </w:rPr>
              <w:t>Diagnostic</w:t>
            </w:r>
          </w:p>
        </w:tc>
        <w:tc>
          <w:tcPr>
            <w:tcW w:w="4536" w:type="dxa"/>
            <w:shd w:val="clear" w:color="auto" w:fill="EEF4FA"/>
            <w:tcMar>
              <w:top w:w="90" w:type="dxa"/>
              <w:left w:w="110" w:type="dxa"/>
              <w:bottom w:w="90" w:type="dxa"/>
              <w:right w:w="110" w:type="dxa"/>
            </w:tcMar>
          </w:tcPr>
          <w:p w14:paraId="351AD563" w14:textId="77777777" w:rsidR="004668C3" w:rsidRPr="0026149E" w:rsidRDefault="00000000">
            <w:pPr>
              <w:spacing w:after="0"/>
              <w:rPr>
                <w:sz w:val="17"/>
                <w:szCs w:val="17"/>
              </w:rPr>
            </w:pPr>
            <w:r w:rsidRPr="0026149E">
              <w:rPr>
                <w:sz w:val="17"/>
                <w:szCs w:val="17"/>
              </w:rPr>
              <w:t>Shows whether sterling strengthened, but is not the main funded return</w:t>
            </w:r>
          </w:p>
        </w:tc>
      </w:tr>
    </w:tbl>
    <w:p w14:paraId="7B0831B4" w14:textId="77777777" w:rsidR="004668C3" w:rsidRDefault="004668C3">
      <w:pPr>
        <w:spacing w:after="100"/>
      </w:pPr>
    </w:p>
    <w:p w14:paraId="0467D129" w14:textId="77777777" w:rsidR="004668C3" w:rsidRDefault="00000000">
      <w:pPr>
        <w:spacing w:after="100"/>
      </w:pPr>
      <w:r>
        <w:t>There is legitimate overlap in rates. If OIS pricing defines the signal and a two-year rates instrument generates P&amp;L, Module A is partly testing whether relative policy repricing persists or continues. To avoid a mechanical same-series backtest, use OIS-based data for signal formation and a separate validated return series for the traded exposure. The preferred implementation is actual, liquid government-bond futures with contract-specific DV01 and roll mechanics. If the required futures history, CTD/risk data or reproducible common sample is not defensible, fall back to modelled constant-maturity synthetic zero-coupon returns. A raw yield change is not itself an investable return and should remain only a diagnostic/DV01 approximation.</w:t>
      </w:r>
    </w:p>
    <w:p w14:paraId="1DCFD4A8" w14:textId="77777777" w:rsidR="004668C3" w:rsidRDefault="00000000">
      <w:pPr>
        <w:pStyle w:val="Heading2"/>
      </w:pPr>
      <w:r>
        <w:rPr>
          <w:rFonts w:ascii="Aptos" w:eastAsia="Aptos" w:hAnsi="Aptos"/>
          <w:b w:val="0"/>
        </w:rPr>
        <w:t>3.4 How weekly rebalancing works</w:t>
      </w:r>
    </w:p>
    <w:p w14:paraId="491E04CD" w14:textId="77777777" w:rsidR="004668C3" w:rsidRDefault="00000000">
      <w:pPr>
        <w:spacing w:after="100"/>
      </w:pPr>
      <w:r>
        <w:t>The signal may be calculated from daily OIS observations, but every Module A tradable expression — FX forward, 2Y spread, 10Y spread, relative curve and approved basket — receives one new target only once per week. The recommended working convention with close-only cross-asset data is Thursday-close signal formation followed by Friday-close execution. This puts the new genuinely observable target in place before the weekend without pretending that Friday-close information could also be traded at Friday close.</w:t>
      </w:r>
    </w:p>
    <w:p w14:paraId="1FAB0929" w14:textId="77777777" w:rsidR="004668C3" w:rsidRDefault="00000000">
      <w:pPr>
        <w:spacing w:after="100"/>
        <w:ind w:left="432" w:hanging="360"/>
      </w:pPr>
      <w:r>
        <w:t>1.  At Thursday close, collect the latest eligible OIS-path observations and calculate the signal using only data available by that timestamp.</w:t>
      </w:r>
    </w:p>
    <w:p w14:paraId="7F8B37D1" w14:textId="77777777" w:rsidR="004668C3" w:rsidRDefault="00000000">
      <w:pPr>
        <w:spacing w:after="100"/>
        <w:ind w:left="432" w:hanging="360"/>
      </w:pPr>
      <w:r>
        <w:t>2.  Convert the signal into a target direction and strength for each approved expression.</w:t>
      </w:r>
    </w:p>
    <w:p w14:paraId="1AE94989" w14:textId="77777777" w:rsidR="004668C3" w:rsidRDefault="00000000">
      <w:pPr>
        <w:spacing w:after="100"/>
        <w:ind w:left="432" w:hanging="360"/>
      </w:pPr>
      <w:r>
        <w:lastRenderedPageBreak/>
        <w:t>3.  Use lagged volatility and DV01 estimates to convert signal strength into comparable ex-ante risk positions.</w:t>
      </w:r>
    </w:p>
    <w:p w14:paraId="02B6C2F2" w14:textId="77777777" w:rsidR="004668C3" w:rsidRDefault="00000000">
      <w:pPr>
        <w:spacing w:after="100"/>
        <w:ind w:left="432" w:hanging="360"/>
      </w:pPr>
      <w:r>
        <w:t>4.  At Friday close, move from the existing holdings to the new target holdings and apply transaction costs to the change in position.</w:t>
      </w:r>
    </w:p>
    <w:p w14:paraId="38617DE7" w14:textId="77777777" w:rsidR="004668C3" w:rsidRDefault="00000000">
      <w:pPr>
        <w:spacing w:after="100"/>
        <w:ind w:left="432" w:hanging="360"/>
      </w:pPr>
      <w:r>
        <w:t>5.  Hold the resulting positions until the next rebalance; record P&amp;L daily.</w:t>
      </w:r>
    </w:p>
    <w:p w14:paraId="0F27E568" w14:textId="77777777" w:rsidR="004668C3" w:rsidRDefault="00000000">
      <w:pPr>
        <w:spacing w:after="100"/>
      </w:pPr>
      <w:r>
        <w:t>6.  Scheduled BoE and ECB meetings do not trigger an automatic flattening or a special pre-event trade. Module A carries its latest weekly target through the event; any announcement-driven repricing enters the next scheduled signal calculation.</w:t>
      </w:r>
    </w:p>
    <w:p w14:paraId="08989323" w14:textId="77777777" w:rsidR="004668C3" w:rsidRDefault="00000000">
      <w:pPr>
        <w:spacing w:after="100"/>
        <w:ind w:left="432" w:hanging="360"/>
      </w:pPr>
      <w:r>
        <w:t>7.  Use Friday-close signal → Monday-close execution and a midweek schedule as timing robustness checks, not as alternatives selected by whichever produces the best Sharpe ratio.</w:t>
      </w:r>
    </w:p>
    <w:tbl>
      <w:tblPr>
        <w:tblW w:w="0" w:type="auto"/>
        <w:jc w:val="center"/>
        <w:tblLook w:val="04A0" w:firstRow="1" w:lastRow="0" w:firstColumn="1" w:lastColumn="0" w:noHBand="0" w:noVBand="1"/>
      </w:tblPr>
      <w:tblGrid>
        <w:gridCol w:w="10166"/>
      </w:tblGrid>
      <w:tr w:rsidR="004668C3" w14:paraId="44093235" w14:textId="77777777">
        <w:trPr>
          <w:cantSplit/>
          <w:jc w:val="center"/>
        </w:trPr>
        <w:tc>
          <w:tcPr>
            <w:tcW w:w="10166" w:type="dxa"/>
            <w:shd w:val="clear" w:color="auto" w:fill="EEF4FA"/>
            <w:tcMar>
              <w:top w:w="130" w:type="dxa"/>
              <w:left w:w="170" w:type="dxa"/>
              <w:bottom w:w="130" w:type="dxa"/>
              <w:right w:w="170" w:type="dxa"/>
            </w:tcMar>
          </w:tcPr>
          <w:p w14:paraId="60515CB6" w14:textId="77777777" w:rsidR="004668C3" w:rsidRDefault="00000000">
            <w:r>
              <w:rPr>
                <w:b/>
              </w:rPr>
              <w:t>Example rebalance</w:t>
            </w:r>
          </w:p>
          <w:p w14:paraId="2C5E9865" w14:textId="77777777" w:rsidR="004668C3" w:rsidRDefault="00000000">
            <w:pPr>
              <w:spacing w:after="0"/>
            </w:pPr>
            <w:r>
              <w:t>Existing position: modest short GBP. Thursday’s repricing signal changes from −0.30 to +0.70. At Friday close the FX sleeve reverses to long GBP under its forward-reset rule. The 2Y sleeve becomes short UK / long Germany and is resized to the current DV01-balanced futures target (or the approved synthetic fallback). If the following Thursday signal is still +0.70, the futures contract counts can still change because volatility, DV01, GBP/EUR conversion, CTD or caps have changed. Section 3.5 gives the asset-specific mechanics.</w:t>
            </w:r>
          </w:p>
        </w:tc>
      </w:tr>
    </w:tbl>
    <w:p w14:paraId="2FD7FB17" w14:textId="77777777" w:rsidR="004668C3" w:rsidRDefault="004668C3">
      <w:pPr>
        <w:spacing w:after="100"/>
      </w:pPr>
    </w:p>
    <w:p w14:paraId="0BC8610C" w14:textId="77777777" w:rsidR="004668C3" w:rsidRDefault="00000000">
      <w:pPr>
        <w:pStyle w:val="Heading2"/>
      </w:pPr>
      <w:r>
        <w:t>3.5 Asset-specific implementation mechanics</w:t>
      </w:r>
    </w:p>
    <w:p w14:paraId="213FCBF9" w14:textId="77777777" w:rsidR="004668C3" w:rsidRDefault="00000000">
      <w:pPr>
        <w:spacing w:after="100"/>
      </w:pPr>
      <w:r>
        <w:t>The weekly signal and risk engine should be common across expressions, but the mechanics of maintaining the exposure differ by instrument. The rules below prevent the project from treating a 1M FX forward, a listed government-bond future and a synthetic constant-maturity bond as if they rebalance in the same way.</w:t>
      </w:r>
    </w:p>
    <w:p w14:paraId="2780D54B" w14:textId="77777777" w:rsidR="004668C3" w:rsidRDefault="00000000">
      <w:pPr>
        <w:pStyle w:val="Heading3"/>
      </w:pPr>
      <w:r>
        <w:t>3.5.1 One-month FX forward — reference implementation</w:t>
      </w:r>
    </w:p>
    <w:p w14:paraId="14835CD0" w14:textId="77777777" w:rsidR="004668C3" w:rsidRDefault="00000000">
      <w:pPr>
        <w:spacing w:after="100"/>
      </w:pPr>
      <w:r>
        <w:t>For completeness, the FX sleeve follows the previously selected constant-tenor logic: the primary implementation economically unwinds the existing residual-maturity forward at each weekly rebalance and establishes a fresh 1M forward at the new target notional. A lower-turnover robustness version keeps a common monthly settlement date and resizes notional intra-month. This differs fundamentally from futures because a newly entered 1M forward has a genuinely different settlement date from the forward entered one week earlier.</w:t>
      </w:r>
    </w:p>
    <w:p w14:paraId="0E8C64BE" w14:textId="77777777" w:rsidR="004668C3" w:rsidRDefault="00000000">
      <w:pPr>
        <w:pStyle w:val="Heading3"/>
      </w:pPr>
      <w:r>
        <w:t>3.5.2 What “2Y” and “10Y” mean in the rates spreads</w:t>
      </w:r>
    </w:p>
    <w:p w14:paraId="3B0183F2" w14:textId="77777777" w:rsidR="004668C3" w:rsidRDefault="00000000">
      <w:pPr>
        <w:spacing w:after="100"/>
      </w:pPr>
      <w:r>
        <w:t>The 2Y and 10Y labels describe the target maturity bucket of the economic interest-rate exposure, not the expiry date of the futures contract used to implement it. The strategy holding period, the futures contract expiry and the maturity of the bond exposure underneath the future are three separate clocks.</w:t>
      </w:r>
    </w:p>
    <w:tbl>
      <w:tblPr>
        <w:tblW w:w="0" w:type="auto"/>
        <w:jc w:val="center"/>
        <w:tblLook w:val="04A0" w:firstRow="1" w:lastRow="0" w:firstColumn="1" w:lastColumn="0" w:noHBand="0" w:noVBand="1"/>
      </w:tblPr>
      <w:tblGrid>
        <w:gridCol w:w="2076"/>
        <w:gridCol w:w="4398"/>
        <w:gridCol w:w="3692"/>
      </w:tblGrid>
      <w:tr w:rsidR="004668C3" w14:paraId="68286A2B" w14:textId="77777777">
        <w:trPr>
          <w:cantSplit/>
          <w:jc w:val="center"/>
        </w:trPr>
        <w:tc>
          <w:tcPr>
            <w:tcW w:w="2088" w:type="dxa"/>
            <w:shd w:val="clear" w:color="auto" w:fill="17365D"/>
            <w:tcMar>
              <w:top w:w="75" w:type="dxa"/>
              <w:left w:w="90" w:type="dxa"/>
              <w:bottom w:w="75" w:type="dxa"/>
              <w:right w:w="90" w:type="dxa"/>
            </w:tcMar>
            <w:vAlign w:val="center"/>
          </w:tcPr>
          <w:p w14:paraId="442FBA39" w14:textId="77777777" w:rsidR="004668C3" w:rsidRDefault="00000000">
            <w:pPr>
              <w:spacing w:after="40"/>
            </w:pPr>
            <w:r>
              <w:rPr>
                <w:b/>
                <w:color w:val="FFFFFF"/>
                <w:sz w:val="17"/>
              </w:rPr>
              <w:t>Clock</w:t>
            </w:r>
          </w:p>
        </w:tc>
        <w:tc>
          <w:tcPr>
            <w:tcW w:w="4464" w:type="dxa"/>
            <w:shd w:val="clear" w:color="auto" w:fill="17365D"/>
            <w:tcMar>
              <w:top w:w="75" w:type="dxa"/>
              <w:left w:w="90" w:type="dxa"/>
              <w:bottom w:w="75" w:type="dxa"/>
              <w:right w:w="90" w:type="dxa"/>
            </w:tcMar>
            <w:vAlign w:val="center"/>
          </w:tcPr>
          <w:p w14:paraId="7607F857" w14:textId="77777777" w:rsidR="004668C3" w:rsidRDefault="00000000">
            <w:pPr>
              <w:spacing w:after="40"/>
            </w:pPr>
            <w:r>
              <w:rPr>
                <w:b/>
                <w:color w:val="FFFFFF"/>
                <w:sz w:val="17"/>
              </w:rPr>
              <w:t>What it means</w:t>
            </w:r>
          </w:p>
        </w:tc>
        <w:tc>
          <w:tcPr>
            <w:tcW w:w="3744" w:type="dxa"/>
            <w:shd w:val="clear" w:color="auto" w:fill="17365D"/>
            <w:tcMar>
              <w:top w:w="75" w:type="dxa"/>
              <w:left w:w="90" w:type="dxa"/>
              <w:bottom w:w="75" w:type="dxa"/>
              <w:right w:w="90" w:type="dxa"/>
            </w:tcMar>
            <w:vAlign w:val="center"/>
          </w:tcPr>
          <w:p w14:paraId="2ACF276E" w14:textId="77777777" w:rsidR="004668C3" w:rsidRDefault="00000000">
            <w:pPr>
              <w:spacing w:after="40"/>
            </w:pPr>
            <w:r>
              <w:rPr>
                <w:b/>
                <w:color w:val="FFFFFF"/>
                <w:sz w:val="17"/>
              </w:rPr>
              <w:t>Example</w:t>
            </w:r>
          </w:p>
        </w:tc>
      </w:tr>
      <w:tr w:rsidR="004668C3" w14:paraId="5B9CBF7E" w14:textId="77777777">
        <w:trPr>
          <w:cantSplit/>
          <w:jc w:val="center"/>
        </w:trPr>
        <w:tc>
          <w:tcPr>
            <w:tcW w:w="2088" w:type="dxa"/>
            <w:tcMar>
              <w:top w:w="75" w:type="dxa"/>
              <w:left w:w="90" w:type="dxa"/>
              <w:bottom w:w="75" w:type="dxa"/>
              <w:right w:w="90" w:type="dxa"/>
            </w:tcMar>
            <w:vAlign w:val="center"/>
          </w:tcPr>
          <w:p w14:paraId="717DF133" w14:textId="77777777" w:rsidR="004668C3" w:rsidRDefault="00000000">
            <w:pPr>
              <w:spacing w:after="40"/>
            </w:pPr>
            <w:r>
              <w:rPr>
                <w:sz w:val="17"/>
              </w:rPr>
              <w:t>Strategy holding/rebalance period</w:t>
            </w:r>
          </w:p>
        </w:tc>
        <w:tc>
          <w:tcPr>
            <w:tcW w:w="4464" w:type="dxa"/>
            <w:tcMar>
              <w:top w:w="75" w:type="dxa"/>
              <w:left w:w="90" w:type="dxa"/>
              <w:bottom w:w="75" w:type="dxa"/>
              <w:right w:w="90" w:type="dxa"/>
            </w:tcMar>
            <w:vAlign w:val="center"/>
          </w:tcPr>
          <w:p w14:paraId="079B1BDB" w14:textId="77777777" w:rsidR="004668C3" w:rsidRDefault="00000000">
            <w:pPr>
              <w:spacing w:after="40"/>
            </w:pPr>
            <w:r>
              <w:rPr>
                <w:sz w:val="17"/>
              </w:rPr>
              <w:t>How long the current Module A target is normally held before reassessment.</w:t>
            </w:r>
          </w:p>
        </w:tc>
        <w:tc>
          <w:tcPr>
            <w:tcW w:w="3744" w:type="dxa"/>
            <w:tcMar>
              <w:top w:w="75" w:type="dxa"/>
              <w:left w:w="90" w:type="dxa"/>
              <w:bottom w:w="75" w:type="dxa"/>
              <w:right w:w="90" w:type="dxa"/>
            </w:tcMar>
            <w:vAlign w:val="center"/>
          </w:tcPr>
          <w:p w14:paraId="64884A71" w14:textId="77777777" w:rsidR="004668C3" w:rsidRDefault="00000000">
            <w:pPr>
              <w:spacing w:after="40"/>
            </w:pPr>
            <w:r>
              <w:rPr>
                <w:sz w:val="17"/>
              </w:rPr>
              <w:t>Friday to Friday; daily P&amp;L recorded.</w:t>
            </w:r>
          </w:p>
        </w:tc>
      </w:tr>
      <w:tr w:rsidR="004668C3" w14:paraId="4144E950" w14:textId="77777777">
        <w:trPr>
          <w:cantSplit/>
          <w:jc w:val="center"/>
        </w:trPr>
        <w:tc>
          <w:tcPr>
            <w:tcW w:w="2088" w:type="dxa"/>
            <w:shd w:val="clear" w:color="auto" w:fill="EAF0F8"/>
            <w:tcMar>
              <w:top w:w="75" w:type="dxa"/>
              <w:left w:w="90" w:type="dxa"/>
              <w:bottom w:w="75" w:type="dxa"/>
              <w:right w:w="90" w:type="dxa"/>
            </w:tcMar>
            <w:vAlign w:val="center"/>
          </w:tcPr>
          <w:p w14:paraId="276B3AF0" w14:textId="77777777" w:rsidR="004668C3" w:rsidRDefault="00000000">
            <w:pPr>
              <w:spacing w:after="40"/>
            </w:pPr>
            <w:r>
              <w:rPr>
                <w:sz w:val="17"/>
              </w:rPr>
              <w:t>Futures contract expiry / delivery calendar</w:t>
            </w:r>
          </w:p>
        </w:tc>
        <w:tc>
          <w:tcPr>
            <w:tcW w:w="4464" w:type="dxa"/>
            <w:shd w:val="clear" w:color="auto" w:fill="EAF0F8"/>
            <w:tcMar>
              <w:top w:w="75" w:type="dxa"/>
              <w:left w:w="90" w:type="dxa"/>
              <w:bottom w:w="75" w:type="dxa"/>
              <w:right w:w="90" w:type="dxa"/>
            </w:tcMar>
            <w:vAlign w:val="center"/>
          </w:tcPr>
          <w:p w14:paraId="57C0CDD2" w14:textId="77777777" w:rsidR="004668C3" w:rsidRDefault="00000000">
            <w:pPr>
              <w:spacing w:after="40"/>
            </w:pPr>
            <w:r>
              <w:rPr>
                <w:sz w:val="17"/>
              </w:rPr>
              <w:t>When the listed futures contract itself must be rolled or otherwise closed.</w:t>
            </w:r>
          </w:p>
        </w:tc>
        <w:tc>
          <w:tcPr>
            <w:tcW w:w="3744" w:type="dxa"/>
            <w:shd w:val="clear" w:color="auto" w:fill="EAF0F8"/>
            <w:tcMar>
              <w:top w:w="75" w:type="dxa"/>
              <w:left w:w="90" w:type="dxa"/>
              <w:bottom w:w="75" w:type="dxa"/>
              <w:right w:w="90" w:type="dxa"/>
            </w:tcMar>
            <w:vAlign w:val="center"/>
          </w:tcPr>
          <w:p w14:paraId="1AA4D9D1" w14:textId="77777777" w:rsidR="004668C3" w:rsidRDefault="00000000">
            <w:pPr>
              <w:spacing w:after="40"/>
            </w:pPr>
            <w:r>
              <w:rPr>
                <w:sz w:val="17"/>
              </w:rPr>
              <w:t>A September contract is replaced by a later contract around its market-specific roll period.</w:t>
            </w:r>
          </w:p>
        </w:tc>
      </w:tr>
      <w:tr w:rsidR="004668C3" w14:paraId="6CD17837" w14:textId="77777777">
        <w:trPr>
          <w:cantSplit/>
          <w:jc w:val="center"/>
        </w:trPr>
        <w:tc>
          <w:tcPr>
            <w:tcW w:w="2088" w:type="dxa"/>
            <w:tcMar>
              <w:top w:w="75" w:type="dxa"/>
              <w:left w:w="90" w:type="dxa"/>
              <w:bottom w:w="75" w:type="dxa"/>
              <w:right w:w="90" w:type="dxa"/>
            </w:tcMar>
            <w:vAlign w:val="center"/>
          </w:tcPr>
          <w:p w14:paraId="0BB7795C" w14:textId="77777777" w:rsidR="004668C3" w:rsidRDefault="00000000">
            <w:pPr>
              <w:spacing w:after="40"/>
            </w:pPr>
            <w:r>
              <w:rPr>
                <w:sz w:val="17"/>
              </w:rPr>
              <w:t>Underlying maturity exposure</w:t>
            </w:r>
          </w:p>
        </w:tc>
        <w:tc>
          <w:tcPr>
            <w:tcW w:w="4464" w:type="dxa"/>
            <w:tcMar>
              <w:top w:w="75" w:type="dxa"/>
              <w:left w:w="90" w:type="dxa"/>
              <w:bottom w:w="75" w:type="dxa"/>
              <w:right w:w="90" w:type="dxa"/>
            </w:tcMar>
            <w:vAlign w:val="center"/>
          </w:tcPr>
          <w:p w14:paraId="18B762FD" w14:textId="77777777" w:rsidR="004668C3" w:rsidRDefault="00000000">
            <w:pPr>
              <w:spacing w:after="40"/>
            </w:pPr>
            <w:r>
              <w:rPr>
                <w:sz w:val="17"/>
              </w:rPr>
              <w:t>Which part of the yield curve the future economically represents.</w:t>
            </w:r>
          </w:p>
        </w:tc>
        <w:tc>
          <w:tcPr>
            <w:tcW w:w="3744" w:type="dxa"/>
            <w:tcMar>
              <w:top w:w="75" w:type="dxa"/>
              <w:left w:w="90" w:type="dxa"/>
              <w:bottom w:w="75" w:type="dxa"/>
              <w:right w:w="90" w:type="dxa"/>
            </w:tcMar>
            <w:vAlign w:val="center"/>
          </w:tcPr>
          <w:p w14:paraId="4E5D4FF6" w14:textId="77777777" w:rsidR="004668C3" w:rsidRDefault="00000000">
            <w:pPr>
              <w:spacing w:after="40"/>
            </w:pPr>
            <w:r>
              <w:rPr>
                <w:sz w:val="17"/>
              </w:rPr>
              <w:t>Approximately 2Y for the short-end spread or approximately 10Y for the long-end spread.</w:t>
            </w:r>
          </w:p>
        </w:tc>
      </w:tr>
    </w:tbl>
    <w:p w14:paraId="3AFDCCBE" w14:textId="77777777" w:rsidR="004668C3" w:rsidRDefault="00000000">
      <w:pPr>
        <w:spacing w:after="100"/>
      </w:pPr>
      <w:r>
        <w:t>The 2Y expression therefore remains “DV01-neutral UK versus Germany 2Y duration” even if the actual futures contract expires in a few months. Likewise, the 10Y expression targets the long-end maturity bucket; it does not require the futures contract itself to have ten years until expiry.</w:t>
      </w:r>
    </w:p>
    <w:p w14:paraId="35A46B1E" w14:textId="77777777" w:rsidR="004668C3" w:rsidRDefault="00000000">
      <w:pPr>
        <w:pStyle w:val="Heading3"/>
      </w:pPr>
      <w:r>
        <w:t>3.5.3 Rates implementation hierarchy: futures first, synthetics second</w:t>
      </w:r>
    </w:p>
    <w:p w14:paraId="7FAE2C6B" w14:textId="77777777" w:rsidR="004668C3" w:rsidRDefault="00000000">
      <w:pPr>
        <w:spacing w:after="100"/>
      </w:pPr>
      <w:r>
        <w:t xml:space="preserve">Primary objective: use actual futures wherever the data and contract-risk history are sufficiently clean and reproducible. Futures are preferred because they are straightforward to short, capital-efficient, liquid, easy to resize </w:t>
      </w:r>
      <w:r>
        <w:lastRenderedPageBreak/>
        <w:t>weekly, have observable mark-to-market P&amp;L and permit realistic transaction-cost and roll modelling. The exact contract mapping remains subject to the data gate; the intended candidates are the liquid UK and German government-bond futures that best represent the approximately 2Y and 10Y maturity buckets. Where clean and maturity-comparable cash-government-bond or government-bond total-return series are available, they may be used as an additional observed-market validation of the futures results; they are not a separate headline specification and do not displace futures as the preferred implementation.</w:t>
      </w:r>
    </w:p>
    <w:tbl>
      <w:tblPr>
        <w:tblW w:w="0" w:type="auto"/>
        <w:jc w:val="center"/>
        <w:tblLook w:val="04A0" w:firstRow="1" w:lastRow="0" w:firstColumn="1" w:lastColumn="0" w:noHBand="0" w:noVBand="1"/>
      </w:tblPr>
      <w:tblGrid>
        <w:gridCol w:w="1728"/>
        <w:gridCol w:w="2944"/>
        <w:gridCol w:w="2918"/>
        <w:gridCol w:w="2576"/>
      </w:tblGrid>
      <w:tr w:rsidR="004668C3" w14:paraId="3105344F" w14:textId="77777777">
        <w:trPr>
          <w:cantSplit/>
          <w:jc w:val="center"/>
        </w:trPr>
        <w:tc>
          <w:tcPr>
            <w:tcW w:w="1800" w:type="dxa"/>
            <w:shd w:val="clear" w:color="auto" w:fill="17365D"/>
            <w:tcMar>
              <w:top w:w="75" w:type="dxa"/>
              <w:left w:w="90" w:type="dxa"/>
              <w:bottom w:w="75" w:type="dxa"/>
              <w:right w:w="90" w:type="dxa"/>
            </w:tcMar>
            <w:vAlign w:val="center"/>
          </w:tcPr>
          <w:p w14:paraId="57EB12DC" w14:textId="77777777" w:rsidR="004668C3" w:rsidRDefault="00000000">
            <w:pPr>
              <w:spacing w:after="40"/>
            </w:pPr>
            <w:r>
              <w:rPr>
                <w:b/>
                <w:color w:val="FFFFFF"/>
                <w:sz w:val="17"/>
              </w:rPr>
              <w:t>Layer</w:t>
            </w:r>
          </w:p>
        </w:tc>
        <w:tc>
          <w:tcPr>
            <w:tcW w:w="3240" w:type="dxa"/>
            <w:shd w:val="clear" w:color="auto" w:fill="17365D"/>
            <w:tcMar>
              <w:top w:w="75" w:type="dxa"/>
              <w:left w:w="90" w:type="dxa"/>
              <w:bottom w:w="75" w:type="dxa"/>
              <w:right w:w="90" w:type="dxa"/>
            </w:tcMar>
            <w:vAlign w:val="center"/>
          </w:tcPr>
          <w:p w14:paraId="703F63DA" w14:textId="77777777" w:rsidR="004668C3" w:rsidRDefault="00000000">
            <w:pPr>
              <w:spacing w:after="40"/>
            </w:pPr>
            <w:r>
              <w:rPr>
                <w:b/>
                <w:color w:val="FFFFFF"/>
                <w:sz w:val="17"/>
              </w:rPr>
              <w:t>2Y spread</w:t>
            </w:r>
          </w:p>
        </w:tc>
        <w:tc>
          <w:tcPr>
            <w:tcW w:w="3240" w:type="dxa"/>
            <w:shd w:val="clear" w:color="auto" w:fill="17365D"/>
            <w:tcMar>
              <w:top w:w="75" w:type="dxa"/>
              <w:left w:w="90" w:type="dxa"/>
              <w:bottom w:w="75" w:type="dxa"/>
              <w:right w:w="90" w:type="dxa"/>
            </w:tcMar>
            <w:vAlign w:val="center"/>
          </w:tcPr>
          <w:p w14:paraId="4AE68B8B" w14:textId="77777777" w:rsidR="004668C3" w:rsidRDefault="00000000">
            <w:pPr>
              <w:spacing w:after="40"/>
            </w:pPr>
            <w:r>
              <w:rPr>
                <w:b/>
                <w:color w:val="FFFFFF"/>
                <w:sz w:val="17"/>
              </w:rPr>
              <w:t>10Y spread</w:t>
            </w:r>
          </w:p>
        </w:tc>
        <w:tc>
          <w:tcPr>
            <w:tcW w:w="2880" w:type="dxa"/>
            <w:shd w:val="clear" w:color="auto" w:fill="17365D"/>
            <w:tcMar>
              <w:top w:w="75" w:type="dxa"/>
              <w:left w:w="90" w:type="dxa"/>
              <w:bottom w:w="75" w:type="dxa"/>
              <w:right w:w="90" w:type="dxa"/>
            </w:tcMar>
            <w:vAlign w:val="center"/>
          </w:tcPr>
          <w:p w14:paraId="09843C2D" w14:textId="77777777" w:rsidR="004668C3" w:rsidRDefault="00000000">
            <w:pPr>
              <w:spacing w:after="40"/>
            </w:pPr>
            <w:r>
              <w:rPr>
                <w:b/>
                <w:color w:val="FFFFFF"/>
                <w:sz w:val="17"/>
              </w:rPr>
              <w:t>Project status</w:t>
            </w:r>
          </w:p>
        </w:tc>
      </w:tr>
      <w:tr w:rsidR="004668C3" w14:paraId="464BF43A" w14:textId="77777777">
        <w:trPr>
          <w:cantSplit/>
          <w:jc w:val="center"/>
        </w:trPr>
        <w:tc>
          <w:tcPr>
            <w:tcW w:w="1800" w:type="dxa"/>
            <w:tcMar>
              <w:top w:w="75" w:type="dxa"/>
              <w:left w:w="90" w:type="dxa"/>
              <w:bottom w:w="75" w:type="dxa"/>
              <w:right w:w="90" w:type="dxa"/>
            </w:tcMar>
            <w:vAlign w:val="center"/>
          </w:tcPr>
          <w:p w14:paraId="2FB489C0" w14:textId="77777777" w:rsidR="004668C3" w:rsidRDefault="00000000">
            <w:pPr>
              <w:spacing w:after="40"/>
            </w:pPr>
            <w:r>
              <w:rPr>
                <w:sz w:val="17"/>
              </w:rPr>
              <w:t>Economic expression</w:t>
            </w:r>
          </w:p>
        </w:tc>
        <w:tc>
          <w:tcPr>
            <w:tcW w:w="3240" w:type="dxa"/>
            <w:tcMar>
              <w:top w:w="75" w:type="dxa"/>
              <w:left w:w="90" w:type="dxa"/>
              <w:bottom w:w="75" w:type="dxa"/>
              <w:right w:w="90" w:type="dxa"/>
            </w:tcMar>
            <w:vAlign w:val="center"/>
          </w:tcPr>
          <w:p w14:paraId="3C15566E" w14:textId="77777777" w:rsidR="004668C3" w:rsidRDefault="00000000">
            <w:pPr>
              <w:spacing w:after="40"/>
            </w:pPr>
            <w:r>
              <w:rPr>
                <w:sz w:val="17"/>
              </w:rPr>
              <w:t>Short UK 2Y duration / long German 2Y duration for a positive hawkish-UK signal.</w:t>
            </w:r>
          </w:p>
        </w:tc>
        <w:tc>
          <w:tcPr>
            <w:tcW w:w="3240" w:type="dxa"/>
            <w:tcMar>
              <w:top w:w="75" w:type="dxa"/>
              <w:left w:w="90" w:type="dxa"/>
              <w:bottom w:w="75" w:type="dxa"/>
              <w:right w:w="90" w:type="dxa"/>
            </w:tcMar>
            <w:vAlign w:val="center"/>
          </w:tcPr>
          <w:p w14:paraId="19A17EF9" w14:textId="77777777" w:rsidR="004668C3" w:rsidRDefault="00000000">
            <w:pPr>
              <w:spacing w:after="40"/>
            </w:pPr>
            <w:r>
              <w:rPr>
                <w:sz w:val="17"/>
              </w:rPr>
              <w:t>Short UK 10Y duration / long German 10Y duration for a positive hawkish-UK signal.</w:t>
            </w:r>
          </w:p>
        </w:tc>
        <w:tc>
          <w:tcPr>
            <w:tcW w:w="2880" w:type="dxa"/>
            <w:tcMar>
              <w:top w:w="75" w:type="dxa"/>
              <w:left w:w="90" w:type="dxa"/>
              <w:bottom w:w="75" w:type="dxa"/>
              <w:right w:w="90" w:type="dxa"/>
            </w:tcMar>
            <w:vAlign w:val="center"/>
          </w:tcPr>
          <w:p w14:paraId="6390D518" w14:textId="77777777" w:rsidR="004668C3" w:rsidRDefault="00000000">
            <w:pPr>
              <w:spacing w:after="40"/>
            </w:pPr>
            <w:r>
              <w:rPr>
                <w:sz w:val="17"/>
              </w:rPr>
              <w:t>Fixed economic object; reverse for a negative signal.</w:t>
            </w:r>
          </w:p>
        </w:tc>
      </w:tr>
      <w:tr w:rsidR="004668C3" w14:paraId="7791115C" w14:textId="77777777">
        <w:trPr>
          <w:cantSplit/>
          <w:jc w:val="center"/>
        </w:trPr>
        <w:tc>
          <w:tcPr>
            <w:tcW w:w="1800" w:type="dxa"/>
            <w:shd w:val="clear" w:color="auto" w:fill="EAF0F8"/>
            <w:tcMar>
              <w:top w:w="75" w:type="dxa"/>
              <w:left w:w="90" w:type="dxa"/>
              <w:bottom w:w="75" w:type="dxa"/>
              <w:right w:w="90" w:type="dxa"/>
            </w:tcMar>
            <w:vAlign w:val="center"/>
          </w:tcPr>
          <w:p w14:paraId="6AE52E3C" w14:textId="77777777" w:rsidR="004668C3" w:rsidRDefault="00000000">
            <w:pPr>
              <w:spacing w:after="40"/>
            </w:pPr>
            <w:r>
              <w:rPr>
                <w:sz w:val="17"/>
              </w:rPr>
              <w:t>Preferred tradable implementation</w:t>
            </w:r>
          </w:p>
        </w:tc>
        <w:tc>
          <w:tcPr>
            <w:tcW w:w="3240" w:type="dxa"/>
            <w:shd w:val="clear" w:color="auto" w:fill="EAF0F8"/>
            <w:tcMar>
              <w:top w:w="75" w:type="dxa"/>
              <w:left w:w="90" w:type="dxa"/>
              <w:bottom w:w="75" w:type="dxa"/>
              <w:right w:w="90" w:type="dxa"/>
            </w:tcMar>
            <w:vAlign w:val="center"/>
          </w:tcPr>
          <w:p w14:paraId="752B937A" w14:textId="77777777" w:rsidR="004668C3" w:rsidRDefault="00000000">
            <w:pPr>
              <w:spacing w:after="40"/>
            </w:pPr>
            <w:r>
              <w:rPr>
                <w:sz w:val="17"/>
              </w:rPr>
              <w:t>Liquid UK short-maturity government-bond future versus German short-maturity/Schatz-type future, subject to data validation.</w:t>
            </w:r>
          </w:p>
        </w:tc>
        <w:tc>
          <w:tcPr>
            <w:tcW w:w="3240" w:type="dxa"/>
            <w:shd w:val="clear" w:color="auto" w:fill="EAF0F8"/>
            <w:tcMar>
              <w:top w:w="75" w:type="dxa"/>
              <w:left w:w="90" w:type="dxa"/>
              <w:bottom w:w="75" w:type="dxa"/>
              <w:right w:w="90" w:type="dxa"/>
            </w:tcMar>
            <w:vAlign w:val="center"/>
          </w:tcPr>
          <w:p w14:paraId="23C5ADE0" w14:textId="77777777" w:rsidR="004668C3" w:rsidRDefault="00000000">
            <w:pPr>
              <w:spacing w:after="40"/>
            </w:pPr>
            <w:r>
              <w:rPr>
                <w:sz w:val="17"/>
              </w:rPr>
              <w:t>Liquid UK long-gilt future versus German Bund-type future, subject to data validation.</w:t>
            </w:r>
          </w:p>
        </w:tc>
        <w:tc>
          <w:tcPr>
            <w:tcW w:w="2880" w:type="dxa"/>
            <w:shd w:val="clear" w:color="auto" w:fill="EAF0F8"/>
            <w:tcMar>
              <w:top w:w="75" w:type="dxa"/>
              <w:left w:w="90" w:type="dxa"/>
              <w:bottom w:w="75" w:type="dxa"/>
              <w:right w:w="90" w:type="dxa"/>
            </w:tcMar>
            <w:vAlign w:val="center"/>
          </w:tcPr>
          <w:p w14:paraId="71AC3C45" w14:textId="77777777" w:rsidR="004668C3" w:rsidRDefault="00000000">
            <w:pPr>
              <w:spacing w:after="40"/>
            </w:pPr>
            <w:r>
              <w:rPr>
                <w:sz w:val="17"/>
              </w:rPr>
              <w:t>Priority if price, CTD/DV01 and roll data are defensible.</w:t>
            </w:r>
          </w:p>
        </w:tc>
      </w:tr>
      <w:tr w:rsidR="004668C3" w14:paraId="0E5A2173" w14:textId="77777777">
        <w:trPr>
          <w:cantSplit/>
          <w:jc w:val="center"/>
        </w:trPr>
        <w:tc>
          <w:tcPr>
            <w:tcW w:w="1800" w:type="dxa"/>
            <w:tcMar>
              <w:top w:w="75" w:type="dxa"/>
              <w:left w:w="90" w:type="dxa"/>
              <w:bottom w:w="75" w:type="dxa"/>
              <w:right w:w="90" w:type="dxa"/>
            </w:tcMar>
            <w:vAlign w:val="center"/>
          </w:tcPr>
          <w:p w14:paraId="1353DEA6" w14:textId="77777777" w:rsidR="004668C3" w:rsidRDefault="00000000">
            <w:pPr>
              <w:spacing w:after="40"/>
            </w:pPr>
            <w:r>
              <w:rPr>
                <w:sz w:val="17"/>
              </w:rPr>
              <w:t>Fallback / robustness</w:t>
            </w:r>
          </w:p>
        </w:tc>
        <w:tc>
          <w:tcPr>
            <w:tcW w:w="3240" w:type="dxa"/>
            <w:tcMar>
              <w:top w:w="75" w:type="dxa"/>
              <w:left w:w="90" w:type="dxa"/>
              <w:bottom w:w="75" w:type="dxa"/>
              <w:right w:w="90" w:type="dxa"/>
            </w:tcMar>
            <w:vAlign w:val="center"/>
          </w:tcPr>
          <w:p w14:paraId="13915342" w14:textId="77777777" w:rsidR="004668C3" w:rsidRDefault="00000000">
            <w:pPr>
              <w:spacing w:after="40"/>
            </w:pPr>
            <w:r>
              <w:rPr>
                <w:sz w:val="17"/>
              </w:rPr>
              <w:t>Synthetic constant-maturity UK and German 2Y zero-coupon bond returns.</w:t>
            </w:r>
          </w:p>
        </w:tc>
        <w:tc>
          <w:tcPr>
            <w:tcW w:w="3240" w:type="dxa"/>
            <w:tcMar>
              <w:top w:w="75" w:type="dxa"/>
              <w:left w:w="90" w:type="dxa"/>
              <w:bottom w:w="75" w:type="dxa"/>
              <w:right w:w="90" w:type="dxa"/>
            </w:tcMar>
            <w:vAlign w:val="center"/>
          </w:tcPr>
          <w:p w14:paraId="4933D35B" w14:textId="77777777" w:rsidR="004668C3" w:rsidRDefault="00000000">
            <w:pPr>
              <w:spacing w:after="40"/>
            </w:pPr>
            <w:r>
              <w:rPr>
                <w:sz w:val="17"/>
              </w:rPr>
              <w:t>Synthetic constant-maturity UK and German 10Y zero-coupon bond returns.</w:t>
            </w:r>
          </w:p>
        </w:tc>
        <w:tc>
          <w:tcPr>
            <w:tcW w:w="2880" w:type="dxa"/>
            <w:tcMar>
              <w:top w:w="75" w:type="dxa"/>
              <w:left w:w="90" w:type="dxa"/>
              <w:bottom w:w="75" w:type="dxa"/>
              <w:right w:w="90" w:type="dxa"/>
            </w:tcMar>
            <w:vAlign w:val="center"/>
          </w:tcPr>
          <w:p w14:paraId="644035BB" w14:textId="77777777" w:rsidR="004668C3" w:rsidRDefault="00000000">
            <w:pPr>
              <w:spacing w:after="40"/>
            </w:pPr>
            <w:r>
              <w:rPr>
                <w:sz w:val="17"/>
              </w:rPr>
              <w:t>Modelled synthetic return; label explicitly.</w:t>
            </w:r>
          </w:p>
        </w:tc>
      </w:tr>
      <w:tr w:rsidR="004668C3" w14:paraId="6F0A0E77" w14:textId="77777777">
        <w:trPr>
          <w:cantSplit/>
          <w:jc w:val="center"/>
        </w:trPr>
        <w:tc>
          <w:tcPr>
            <w:tcW w:w="1800" w:type="dxa"/>
            <w:shd w:val="clear" w:color="auto" w:fill="EAF0F8"/>
            <w:tcMar>
              <w:top w:w="75" w:type="dxa"/>
              <w:left w:w="90" w:type="dxa"/>
              <w:bottom w:w="75" w:type="dxa"/>
              <w:right w:w="90" w:type="dxa"/>
            </w:tcMar>
            <w:vAlign w:val="center"/>
          </w:tcPr>
          <w:p w14:paraId="32C1FC70" w14:textId="77777777" w:rsidR="004668C3" w:rsidRDefault="00000000">
            <w:pPr>
              <w:spacing w:after="40"/>
            </w:pPr>
            <w:r>
              <w:rPr>
                <w:sz w:val="17"/>
              </w:rPr>
              <w:t>Diagnostic only</w:t>
            </w:r>
          </w:p>
        </w:tc>
        <w:tc>
          <w:tcPr>
            <w:tcW w:w="3240" w:type="dxa"/>
            <w:shd w:val="clear" w:color="auto" w:fill="EAF0F8"/>
            <w:tcMar>
              <w:top w:w="75" w:type="dxa"/>
              <w:left w:w="90" w:type="dxa"/>
              <w:bottom w:w="75" w:type="dxa"/>
              <w:right w:w="90" w:type="dxa"/>
            </w:tcMar>
            <w:vAlign w:val="center"/>
          </w:tcPr>
          <w:p w14:paraId="56FE2F5A" w14:textId="77777777" w:rsidR="004668C3" w:rsidRDefault="00000000">
            <w:pPr>
              <w:spacing w:after="40"/>
            </w:pPr>
            <w:r>
              <w:rPr>
                <w:sz w:val="17"/>
              </w:rPr>
              <w:t>DV01 approximation from yield changes.</w:t>
            </w:r>
          </w:p>
        </w:tc>
        <w:tc>
          <w:tcPr>
            <w:tcW w:w="3240" w:type="dxa"/>
            <w:shd w:val="clear" w:color="auto" w:fill="EAF0F8"/>
            <w:tcMar>
              <w:top w:w="75" w:type="dxa"/>
              <w:left w:w="90" w:type="dxa"/>
              <w:bottom w:w="75" w:type="dxa"/>
              <w:right w:w="90" w:type="dxa"/>
            </w:tcMar>
            <w:vAlign w:val="center"/>
          </w:tcPr>
          <w:p w14:paraId="706B614A" w14:textId="77777777" w:rsidR="004668C3" w:rsidRDefault="00000000">
            <w:pPr>
              <w:spacing w:after="40"/>
            </w:pPr>
            <w:r>
              <w:rPr>
                <w:sz w:val="17"/>
              </w:rPr>
              <w:t>DV01 approximation from yield changes.</w:t>
            </w:r>
          </w:p>
        </w:tc>
        <w:tc>
          <w:tcPr>
            <w:tcW w:w="2880" w:type="dxa"/>
            <w:shd w:val="clear" w:color="auto" w:fill="EAF0F8"/>
            <w:tcMar>
              <w:top w:w="75" w:type="dxa"/>
              <w:left w:w="90" w:type="dxa"/>
              <w:bottom w:w="75" w:type="dxa"/>
              <w:right w:w="90" w:type="dxa"/>
            </w:tcMar>
            <w:vAlign w:val="center"/>
          </w:tcPr>
          <w:p w14:paraId="62804CAA" w14:textId="77777777" w:rsidR="004668C3" w:rsidRDefault="00000000">
            <w:pPr>
              <w:spacing w:after="40"/>
            </w:pPr>
            <w:r>
              <w:rPr>
                <w:sz w:val="17"/>
              </w:rPr>
              <w:t>Not a direct traded return.</w:t>
            </w:r>
          </w:p>
        </w:tc>
      </w:tr>
    </w:tbl>
    <w:p w14:paraId="6FD9DCF8" w14:textId="77777777" w:rsidR="004668C3" w:rsidRDefault="00000000">
      <w:pPr>
        <w:spacing w:after="100"/>
      </w:pPr>
      <w:r>
        <w:t>Synthetic constant-maturity returns remain valuable even when futures are primary because they provide a cleaner exact-maturity comparison. Futures may represent, for example, slightly different effective maturities across countries because of delivery baskets and CTD mechanics. The futures result answers the desk-realism question; the synthetic result asks whether the economic 2Y-versus-2Y or 10Y-versus-10Y conclusion survives when maturity matching is exact.</w:t>
      </w:r>
    </w:p>
    <w:p w14:paraId="13FF0BF5" w14:textId="77777777" w:rsidR="004668C3" w:rsidRDefault="00000000">
      <w:pPr>
        <w:pStyle w:val="Heading3"/>
      </w:pPr>
      <w:r>
        <w:t>3.5.4 DV01-neutral construction and weekly futures resizing</w:t>
      </w:r>
    </w:p>
    <w:p w14:paraId="3A7A8534" w14:textId="77777777" w:rsidR="004668C3" w:rsidRDefault="00000000">
      <w:pPr>
        <w:spacing w:after="100"/>
      </w:pPr>
      <w:r>
        <w:t>DV01 is the approximate currency-value change of a position for a one-basis-point move in the relevant yield. For a simple cash bond, DV01 is roughly Market Value × Modified Duration × 0.0001. For futures, use the current contract-specific DV01, ideally reflecting the relevant CTD/delivery mechanics, rather than applying the cash-bond approximation mechanically.</w:t>
      </w:r>
    </w:p>
    <w:p w14:paraId="0954F582" w14:textId="77777777" w:rsidR="004668C3" w:rsidRDefault="00000000">
      <w:pPr>
        <w:spacing w:after="100"/>
      </w:pPr>
      <w:r>
        <w:t>Within each UK–Germany spread, first balance the two legs by DV01 in a common reporting currency</w:t>
      </w:r>
      <w:r w:rsidR="007C6351">
        <w:t xml:space="preserve"> (GBP)</w:t>
      </w:r>
      <w:r>
        <w:t>; only then volatility-target the spread as a whole. The German contract DV01 must therefore be converted into the reporting currency before matching the legs.</w:t>
      </w:r>
    </w:p>
    <w:p w14:paraId="1B5B38FF" w14:textId="77777777" w:rsidR="004668C3" w:rsidRDefault="00000000">
      <w:pPr>
        <w:spacing w:after="100"/>
      </w:pPr>
      <w:r>
        <w:t>Illustrative weekly sizing example: target spread exposure is £10,000 DV01. If the current UK futures DV01 is £25 per contract and the German futures DV01 is €35 per contract, equivalent to £30 after FX conversion, the target is approximately short 400 UK contracts and long 333 German contracts. One week later the signal strengthens and/or estimated volatility falls, raising the target to £13,000 DV01. If contract DV01s are otherwise unchanged, the new target becomes short 520 UK and long about 433 Germany, so the rebalance trades only the difference: sell 120 additional UK futures and buy about 100 additional German futures.</w:t>
      </w:r>
    </w:p>
    <w:p w14:paraId="15A64E07" w14:textId="77777777" w:rsidR="004668C3" w:rsidRDefault="00000000">
      <w:pPr>
        <w:spacing w:after="100"/>
      </w:pPr>
      <w:r>
        <w:t>Even with an unchanged macro signal, target contract counts can change because the lagged spread-volatility estimate moves, futures DV01s change, GBP/EUR changes the converted German DV01, the CTD changes, or a portfolio cap begins or ceases to bind. The implementation chain is therefore: signal + lagged risk estimate + current contract DV01s → new target contract quantities → trade only the difference from existing holdings.</w:t>
      </w:r>
    </w:p>
    <w:p w14:paraId="280C2FA5" w14:textId="77777777" w:rsidR="004668C3" w:rsidRDefault="00000000">
      <w:pPr>
        <w:pStyle w:val="Heading3"/>
      </w:pPr>
      <w:r>
        <w:t>3.5.5 Weekly rebalancing, maturity drift and CTD</w:t>
      </w:r>
    </w:p>
    <w:p w14:paraId="768CA341" w14:textId="77777777" w:rsidR="004668C3" w:rsidRDefault="00000000">
      <w:pPr>
        <w:spacing w:after="100"/>
      </w:pPr>
      <w:r>
        <w:t xml:space="preserve">Weekly futures rebalancing does not create separate maturity cohorts when the same listed contract is used. If the portfolio already holds 100 September contracts and the target increases by 30, buying 30 more of that same September contract leaves 130 identical contracts. The original 100 do not retain a separate “1Y11M” exposure from </w:t>
      </w:r>
      <w:r>
        <w:lastRenderedPageBreak/>
        <w:t>the newly purchased 30; every unit of the same listed contract has the same current price, expiry and risk characteristics.</w:t>
      </w:r>
    </w:p>
    <w:p w14:paraId="0C5FFE69" w14:textId="77777777" w:rsidR="004668C3" w:rsidRDefault="00000000">
      <w:pPr>
        <w:spacing w:after="100"/>
      </w:pPr>
      <w:r>
        <w:t>Maturity drift still exists at the contract level. As time passes, the bonds in the deliverable basket age and the future’s effective maturity can move slightly shorter. An approximately 2Y exposure might drift from about 2.00Y to 1.98Y over a week; an approximately 10Y exposure might move to about 9.98Y. This is normally minor relative to the targeted maturity bucket: one week is roughly 1% of two years and 0.2% of ten years. The futures implementation therefore accepts small within-contract maturity drift rather than resetting the entire book every week merely to restore an exact maturity.</w:t>
      </w:r>
    </w:p>
    <w:p w14:paraId="59AFB71E" w14:textId="77777777" w:rsidR="004668C3" w:rsidRDefault="00000000">
      <w:pPr>
        <w:spacing w:after="100"/>
      </w:pPr>
      <w:r>
        <w:t>CTD (cheapest-to-deliver) is a separate but related source of variation. Government-bond futures reference a basket of deliverable bonds, and the CTD generally has the greatest influence on the future’s effective maturity and DV01. The CTD can change as relative bond economics move, so a future should not be treated as exactly 2.000Y or 10.000Y at all times. Update contract DV01s appropriately and record CTD/maturity-bucket caveats in the instrument metadata.</w:t>
      </w:r>
    </w:p>
    <w:p w14:paraId="4510E3D9" w14:textId="77777777" w:rsidR="004668C3" w:rsidRDefault="00000000">
      <w:pPr>
        <w:spacing w:after="100"/>
      </w:pPr>
      <w:r>
        <w:t>This is a major contrast with the FX-forward sleeve. A fresh 1M forward entered one week later genuinely has a different settlement date and residual tenor from the previous forward; additional units of the same listed futures contract do not.</w:t>
      </w:r>
    </w:p>
    <w:p w14:paraId="3401CF87" w14:textId="77777777" w:rsidR="004668C3" w:rsidRDefault="00000000">
      <w:pPr>
        <w:pStyle w:val="Heading3"/>
      </w:pPr>
      <w:r>
        <w:t>3.5.6 Futures rolls: separate instrument maintenance from strategy rebalancing</w:t>
      </w:r>
    </w:p>
    <w:p w14:paraId="448343C3" w14:textId="77777777" w:rsidR="004668C3" w:rsidRDefault="00000000">
      <w:pPr>
        <w:spacing w:after="100"/>
      </w:pPr>
      <w:r>
        <w:t>A futures roll is different from a weekly Module A resize. Weekly rebalancing changes the desired risk exposure because the signal, volatility, DV01 or caps changed. A roll replaces an expiring/delivery-sensitive futures vehicle with the next approved contract while preserving the intended economic exposure. When rolling, recalculate quantities because the new contract may have a different DV01.</w:t>
      </w:r>
    </w:p>
    <w:p w14:paraId="7ACB61E2" w14:textId="77777777" w:rsidR="004668C3" w:rsidRDefault="00000000">
      <w:pPr>
        <w:spacing w:after="100"/>
      </w:pPr>
      <w:r>
        <w:t>Primary provisional roll convention: use market-specific eligible roll windows rather than one universal roll date. For UK gilt futures, use 10 to 5 business days before First Notice Day (FND). For German Bund/Schatz futures, use 10 to 5 business days before Last Trading Day (LTD). These anchors and exact contract calendars must be verified against the official exchange specifications before implementation and then frozen before performance comparison.</w:t>
      </w:r>
    </w:p>
    <w:p w14:paraId="67771755" w14:textId="77777777" w:rsidR="004668C3" w:rsidRDefault="00000000">
      <w:pPr>
        <w:pStyle w:val="ListBullet"/>
        <w:spacing w:after="40"/>
      </w:pPr>
      <w:r>
        <w:t>Rule 1 — If a scheduled Friday Module A rebalance falls inside a contract’s eligible roll window, roll that leg on the Friday and combine the roll with the new weekly target.</w:t>
      </w:r>
    </w:p>
    <w:p w14:paraId="5EC6F7DC" w14:textId="77777777" w:rsidR="004668C3" w:rsidRDefault="00000000">
      <w:pPr>
        <w:pStyle w:val="ListBullet"/>
        <w:spacing w:after="40"/>
      </w:pPr>
      <w:r>
        <w:t>Rule 2 — If both UK and German roll windows contain the same Friday, roll both legs together.</w:t>
      </w:r>
    </w:p>
    <w:p w14:paraId="121FA6EA" w14:textId="77777777" w:rsidR="004668C3" w:rsidRDefault="00000000">
      <w:pPr>
        <w:pStyle w:val="ListBullet"/>
        <w:spacing w:after="40"/>
      </w:pPr>
      <w:r>
        <w:t>Rule 3 — If only one market is inside its window, roll only that market. Do not force synchronized contract months if doing so would move the other leg prematurely into a less natural or less liquid contract.</w:t>
      </w:r>
    </w:p>
    <w:p w14:paraId="63531960" w14:textId="77777777" w:rsidR="004668C3" w:rsidRDefault="00000000">
      <w:pPr>
        <w:pStyle w:val="ListBullet"/>
        <w:spacing w:after="40"/>
      </w:pPr>
      <w:r>
        <w:t>Rule 4 — If waiting until the next Friday would breach the predetermined safe window, roll that leg on the prescribed maintenance date instead. This is an instrument-maintenance trade, not a new macro decision.</w:t>
      </w:r>
    </w:p>
    <w:p w14:paraId="060164D3" w14:textId="77777777" w:rsidR="004668C3" w:rsidRDefault="00000000">
      <w:pPr>
        <w:spacing w:after="100"/>
      </w:pPr>
      <w:r>
        <w:t>If a roll and a weekly resize coincide, calculate the final target directly in the next contract rather than rolling the old target and then performing a second resize. Signal-driven turnover and contract-roll turnover should be stored and costed separately.</w:t>
      </w:r>
    </w:p>
    <w:p w14:paraId="7E85AA2C" w14:textId="77777777" w:rsidR="004668C3" w:rsidRDefault="00000000">
      <w:pPr>
        <w:pStyle w:val="Heading3"/>
      </w:pPr>
      <w:r>
        <w:t>Illustrative asynchronous roll quarter</w:t>
      </w:r>
    </w:p>
    <w:tbl>
      <w:tblPr>
        <w:tblW w:w="0" w:type="auto"/>
        <w:jc w:val="center"/>
        <w:tblLook w:val="04A0" w:firstRow="1" w:lastRow="0" w:firstColumn="1" w:lastColumn="0" w:noHBand="0" w:noVBand="1"/>
      </w:tblPr>
      <w:tblGrid>
        <w:gridCol w:w="1551"/>
        <w:gridCol w:w="2287"/>
        <w:gridCol w:w="2480"/>
        <w:gridCol w:w="3848"/>
      </w:tblGrid>
      <w:tr w:rsidR="004668C3" w14:paraId="36171A81" w14:textId="77777777">
        <w:trPr>
          <w:cantSplit/>
          <w:jc w:val="center"/>
        </w:trPr>
        <w:tc>
          <w:tcPr>
            <w:tcW w:w="1656" w:type="dxa"/>
            <w:shd w:val="clear" w:color="auto" w:fill="17365D"/>
            <w:tcMar>
              <w:top w:w="75" w:type="dxa"/>
              <w:left w:w="90" w:type="dxa"/>
              <w:bottom w:w="75" w:type="dxa"/>
              <w:right w:w="90" w:type="dxa"/>
            </w:tcMar>
            <w:vAlign w:val="center"/>
          </w:tcPr>
          <w:p w14:paraId="68DE4AAD" w14:textId="77777777" w:rsidR="004668C3" w:rsidRDefault="00000000">
            <w:pPr>
              <w:spacing w:after="40"/>
            </w:pPr>
            <w:r>
              <w:rPr>
                <w:b/>
                <w:color w:val="FFFFFF"/>
                <w:sz w:val="17"/>
              </w:rPr>
              <w:t>Date</w:t>
            </w:r>
          </w:p>
        </w:tc>
        <w:tc>
          <w:tcPr>
            <w:tcW w:w="2520" w:type="dxa"/>
            <w:shd w:val="clear" w:color="auto" w:fill="17365D"/>
            <w:tcMar>
              <w:top w:w="75" w:type="dxa"/>
              <w:left w:w="90" w:type="dxa"/>
              <w:bottom w:w="75" w:type="dxa"/>
              <w:right w:w="90" w:type="dxa"/>
            </w:tcMar>
            <w:vAlign w:val="center"/>
          </w:tcPr>
          <w:p w14:paraId="32E3AFE2" w14:textId="77777777" w:rsidR="004668C3" w:rsidRDefault="00000000">
            <w:pPr>
              <w:spacing w:after="40"/>
            </w:pPr>
            <w:r>
              <w:rPr>
                <w:b/>
                <w:color w:val="FFFFFF"/>
                <w:sz w:val="17"/>
              </w:rPr>
              <w:t>UK status</w:t>
            </w:r>
          </w:p>
        </w:tc>
        <w:tc>
          <w:tcPr>
            <w:tcW w:w="2736" w:type="dxa"/>
            <w:shd w:val="clear" w:color="auto" w:fill="17365D"/>
            <w:tcMar>
              <w:top w:w="75" w:type="dxa"/>
              <w:left w:w="90" w:type="dxa"/>
              <w:bottom w:w="75" w:type="dxa"/>
              <w:right w:w="90" w:type="dxa"/>
            </w:tcMar>
            <w:vAlign w:val="center"/>
          </w:tcPr>
          <w:p w14:paraId="63DF2D31" w14:textId="77777777" w:rsidR="004668C3" w:rsidRDefault="00000000">
            <w:pPr>
              <w:spacing w:after="40"/>
            </w:pPr>
            <w:r>
              <w:rPr>
                <w:b/>
                <w:color w:val="FFFFFF"/>
                <w:sz w:val="17"/>
              </w:rPr>
              <w:t>German status</w:t>
            </w:r>
          </w:p>
        </w:tc>
        <w:tc>
          <w:tcPr>
            <w:tcW w:w="4320" w:type="dxa"/>
            <w:shd w:val="clear" w:color="auto" w:fill="17365D"/>
            <w:tcMar>
              <w:top w:w="75" w:type="dxa"/>
              <w:left w:w="90" w:type="dxa"/>
              <w:bottom w:w="75" w:type="dxa"/>
              <w:right w:w="90" w:type="dxa"/>
            </w:tcMar>
            <w:vAlign w:val="center"/>
          </w:tcPr>
          <w:p w14:paraId="03D5A492" w14:textId="77777777" w:rsidR="004668C3" w:rsidRDefault="00000000">
            <w:pPr>
              <w:spacing w:after="40"/>
            </w:pPr>
            <w:r>
              <w:rPr>
                <w:b/>
                <w:color w:val="FFFFFF"/>
                <w:sz w:val="17"/>
              </w:rPr>
              <w:t>Module A action</w:t>
            </w:r>
          </w:p>
        </w:tc>
      </w:tr>
      <w:tr w:rsidR="004668C3" w14:paraId="1D9287B5" w14:textId="77777777">
        <w:trPr>
          <w:cantSplit/>
          <w:jc w:val="center"/>
        </w:trPr>
        <w:tc>
          <w:tcPr>
            <w:tcW w:w="1656" w:type="dxa"/>
            <w:tcMar>
              <w:top w:w="75" w:type="dxa"/>
              <w:left w:w="90" w:type="dxa"/>
              <w:bottom w:w="75" w:type="dxa"/>
              <w:right w:w="90" w:type="dxa"/>
            </w:tcMar>
            <w:vAlign w:val="center"/>
          </w:tcPr>
          <w:p w14:paraId="2F6099CF" w14:textId="77777777" w:rsidR="004668C3" w:rsidRDefault="00000000">
            <w:pPr>
              <w:spacing w:after="40"/>
            </w:pPr>
            <w:r>
              <w:rPr>
                <w:sz w:val="17"/>
              </w:rPr>
              <w:t>Fri 4 Sep</w:t>
            </w:r>
          </w:p>
        </w:tc>
        <w:tc>
          <w:tcPr>
            <w:tcW w:w="2520" w:type="dxa"/>
            <w:tcMar>
              <w:top w:w="75" w:type="dxa"/>
              <w:left w:w="90" w:type="dxa"/>
              <w:bottom w:w="75" w:type="dxa"/>
              <w:right w:w="90" w:type="dxa"/>
            </w:tcMar>
            <w:vAlign w:val="center"/>
          </w:tcPr>
          <w:p w14:paraId="27F976F6" w14:textId="77777777" w:rsidR="004668C3" w:rsidRDefault="00000000">
            <w:pPr>
              <w:spacing w:after="40"/>
            </w:pPr>
            <w:r>
              <w:rPr>
                <w:sz w:val="17"/>
              </w:rPr>
              <w:t>Too early to roll</w:t>
            </w:r>
          </w:p>
        </w:tc>
        <w:tc>
          <w:tcPr>
            <w:tcW w:w="2736" w:type="dxa"/>
            <w:tcMar>
              <w:top w:w="75" w:type="dxa"/>
              <w:left w:w="90" w:type="dxa"/>
              <w:bottom w:w="75" w:type="dxa"/>
              <w:right w:w="90" w:type="dxa"/>
            </w:tcMar>
            <w:vAlign w:val="center"/>
          </w:tcPr>
          <w:p w14:paraId="28559043" w14:textId="77777777" w:rsidR="004668C3" w:rsidRDefault="00000000">
            <w:pPr>
              <w:spacing w:after="40"/>
            </w:pPr>
            <w:r>
              <w:rPr>
                <w:sz w:val="17"/>
              </w:rPr>
              <w:t>Too early</w:t>
            </w:r>
          </w:p>
        </w:tc>
        <w:tc>
          <w:tcPr>
            <w:tcW w:w="4320" w:type="dxa"/>
            <w:tcMar>
              <w:top w:w="75" w:type="dxa"/>
              <w:left w:w="90" w:type="dxa"/>
              <w:bottom w:w="75" w:type="dxa"/>
              <w:right w:w="90" w:type="dxa"/>
            </w:tcMar>
            <w:vAlign w:val="center"/>
          </w:tcPr>
          <w:p w14:paraId="758C2C75" w14:textId="77777777" w:rsidR="004668C3" w:rsidRDefault="00000000">
            <w:pPr>
              <w:spacing w:after="40"/>
            </w:pPr>
            <w:r>
              <w:rPr>
                <w:sz w:val="17"/>
              </w:rPr>
              <w:t>Normal weekly resize only</w:t>
            </w:r>
          </w:p>
        </w:tc>
      </w:tr>
      <w:tr w:rsidR="004668C3" w14:paraId="561713B3" w14:textId="77777777">
        <w:trPr>
          <w:cantSplit/>
          <w:jc w:val="center"/>
        </w:trPr>
        <w:tc>
          <w:tcPr>
            <w:tcW w:w="1656" w:type="dxa"/>
            <w:shd w:val="clear" w:color="auto" w:fill="EAF0F8"/>
            <w:tcMar>
              <w:top w:w="75" w:type="dxa"/>
              <w:left w:w="90" w:type="dxa"/>
              <w:bottom w:w="75" w:type="dxa"/>
              <w:right w:w="90" w:type="dxa"/>
            </w:tcMar>
            <w:vAlign w:val="center"/>
          </w:tcPr>
          <w:p w14:paraId="196CE055" w14:textId="77777777" w:rsidR="004668C3" w:rsidRDefault="00000000">
            <w:pPr>
              <w:spacing w:after="40"/>
            </w:pPr>
            <w:r>
              <w:rPr>
                <w:sz w:val="17"/>
              </w:rPr>
              <w:t>Fri 11 Sep</w:t>
            </w:r>
          </w:p>
        </w:tc>
        <w:tc>
          <w:tcPr>
            <w:tcW w:w="2520" w:type="dxa"/>
            <w:shd w:val="clear" w:color="auto" w:fill="EAF0F8"/>
            <w:tcMar>
              <w:top w:w="75" w:type="dxa"/>
              <w:left w:w="90" w:type="dxa"/>
              <w:bottom w:w="75" w:type="dxa"/>
              <w:right w:w="90" w:type="dxa"/>
            </w:tcMar>
            <w:vAlign w:val="center"/>
          </w:tcPr>
          <w:p w14:paraId="00E6CB7D" w14:textId="77777777" w:rsidR="004668C3" w:rsidRDefault="00000000">
            <w:pPr>
              <w:spacing w:after="40"/>
            </w:pPr>
            <w:r>
              <w:rPr>
                <w:sz w:val="17"/>
              </w:rPr>
              <w:t>Inside UK roll window</w:t>
            </w:r>
          </w:p>
        </w:tc>
        <w:tc>
          <w:tcPr>
            <w:tcW w:w="2736" w:type="dxa"/>
            <w:shd w:val="clear" w:color="auto" w:fill="EAF0F8"/>
            <w:tcMar>
              <w:top w:w="75" w:type="dxa"/>
              <w:left w:w="90" w:type="dxa"/>
              <w:bottom w:w="75" w:type="dxa"/>
              <w:right w:w="90" w:type="dxa"/>
            </w:tcMar>
            <w:vAlign w:val="center"/>
          </w:tcPr>
          <w:p w14:paraId="31192D23" w14:textId="77777777" w:rsidR="004668C3" w:rsidRDefault="00000000">
            <w:pPr>
              <w:spacing w:after="40"/>
            </w:pPr>
            <w:r>
              <w:rPr>
                <w:sz w:val="17"/>
              </w:rPr>
              <w:t>Too early for Germany</w:t>
            </w:r>
          </w:p>
        </w:tc>
        <w:tc>
          <w:tcPr>
            <w:tcW w:w="4320" w:type="dxa"/>
            <w:shd w:val="clear" w:color="auto" w:fill="EAF0F8"/>
            <w:tcMar>
              <w:top w:w="75" w:type="dxa"/>
              <w:left w:w="90" w:type="dxa"/>
              <w:bottom w:w="75" w:type="dxa"/>
              <w:right w:w="90" w:type="dxa"/>
            </w:tcMar>
            <w:vAlign w:val="center"/>
          </w:tcPr>
          <w:p w14:paraId="2DE5706F" w14:textId="77777777" w:rsidR="004668C3" w:rsidRDefault="00000000">
            <w:pPr>
              <w:spacing w:after="40"/>
            </w:pPr>
            <w:r>
              <w:rPr>
                <w:sz w:val="17"/>
              </w:rPr>
              <w:t>Roll UK into next contract and apply current weekly target</w:t>
            </w:r>
          </w:p>
        </w:tc>
      </w:tr>
      <w:tr w:rsidR="004668C3" w14:paraId="2F04830A" w14:textId="77777777">
        <w:trPr>
          <w:cantSplit/>
          <w:jc w:val="center"/>
        </w:trPr>
        <w:tc>
          <w:tcPr>
            <w:tcW w:w="1656" w:type="dxa"/>
            <w:tcMar>
              <w:top w:w="75" w:type="dxa"/>
              <w:left w:w="90" w:type="dxa"/>
              <w:bottom w:w="75" w:type="dxa"/>
              <w:right w:w="90" w:type="dxa"/>
            </w:tcMar>
            <w:vAlign w:val="center"/>
          </w:tcPr>
          <w:p w14:paraId="4E5B9327" w14:textId="77777777" w:rsidR="004668C3" w:rsidRDefault="00000000">
            <w:pPr>
              <w:spacing w:after="40"/>
            </w:pPr>
            <w:r>
              <w:rPr>
                <w:sz w:val="17"/>
              </w:rPr>
              <w:t>Fri 18 Sep</w:t>
            </w:r>
          </w:p>
        </w:tc>
        <w:tc>
          <w:tcPr>
            <w:tcW w:w="2520" w:type="dxa"/>
            <w:tcMar>
              <w:top w:w="75" w:type="dxa"/>
              <w:left w:w="90" w:type="dxa"/>
              <w:bottom w:w="75" w:type="dxa"/>
              <w:right w:w="90" w:type="dxa"/>
            </w:tcMar>
            <w:vAlign w:val="center"/>
          </w:tcPr>
          <w:p w14:paraId="2A292E97" w14:textId="77777777" w:rsidR="004668C3" w:rsidRDefault="00000000">
            <w:pPr>
              <w:spacing w:after="40"/>
            </w:pPr>
            <w:r>
              <w:rPr>
                <w:sz w:val="17"/>
              </w:rPr>
              <w:t>Already in next contract</w:t>
            </w:r>
          </w:p>
        </w:tc>
        <w:tc>
          <w:tcPr>
            <w:tcW w:w="2736" w:type="dxa"/>
            <w:tcMar>
              <w:top w:w="75" w:type="dxa"/>
              <w:left w:w="90" w:type="dxa"/>
              <w:bottom w:w="75" w:type="dxa"/>
              <w:right w:w="90" w:type="dxa"/>
            </w:tcMar>
            <w:vAlign w:val="center"/>
          </w:tcPr>
          <w:p w14:paraId="08ED0E28" w14:textId="77777777" w:rsidR="004668C3" w:rsidRDefault="00000000">
            <w:pPr>
              <w:spacing w:after="40"/>
            </w:pPr>
            <w:r>
              <w:rPr>
                <w:sz w:val="17"/>
              </w:rPr>
              <w:t>Inside German roll window</w:t>
            </w:r>
          </w:p>
        </w:tc>
        <w:tc>
          <w:tcPr>
            <w:tcW w:w="4320" w:type="dxa"/>
            <w:tcMar>
              <w:top w:w="75" w:type="dxa"/>
              <w:left w:w="90" w:type="dxa"/>
              <w:bottom w:w="75" w:type="dxa"/>
              <w:right w:w="90" w:type="dxa"/>
            </w:tcMar>
            <w:vAlign w:val="center"/>
          </w:tcPr>
          <w:p w14:paraId="0944C9F5" w14:textId="77777777" w:rsidR="004668C3" w:rsidRDefault="00000000">
            <w:pPr>
              <w:spacing w:after="40"/>
            </w:pPr>
            <w:r>
              <w:rPr>
                <w:sz w:val="17"/>
              </w:rPr>
              <w:t>Roll Germany and resize both legs to the current target</w:t>
            </w:r>
          </w:p>
        </w:tc>
      </w:tr>
      <w:tr w:rsidR="004668C3" w14:paraId="7731B474" w14:textId="77777777">
        <w:trPr>
          <w:cantSplit/>
          <w:jc w:val="center"/>
        </w:trPr>
        <w:tc>
          <w:tcPr>
            <w:tcW w:w="1656" w:type="dxa"/>
            <w:shd w:val="clear" w:color="auto" w:fill="EAF0F8"/>
            <w:tcMar>
              <w:top w:w="75" w:type="dxa"/>
              <w:left w:w="90" w:type="dxa"/>
              <w:bottom w:w="75" w:type="dxa"/>
              <w:right w:w="90" w:type="dxa"/>
            </w:tcMar>
            <w:vAlign w:val="center"/>
          </w:tcPr>
          <w:p w14:paraId="5B23D19A" w14:textId="77777777" w:rsidR="004668C3" w:rsidRDefault="00000000">
            <w:pPr>
              <w:spacing w:after="40"/>
            </w:pPr>
            <w:r>
              <w:rPr>
                <w:sz w:val="17"/>
              </w:rPr>
              <w:t>Fri 25 Sep</w:t>
            </w:r>
          </w:p>
        </w:tc>
        <w:tc>
          <w:tcPr>
            <w:tcW w:w="2520" w:type="dxa"/>
            <w:shd w:val="clear" w:color="auto" w:fill="EAF0F8"/>
            <w:tcMar>
              <w:top w:w="75" w:type="dxa"/>
              <w:left w:w="90" w:type="dxa"/>
              <w:bottom w:w="75" w:type="dxa"/>
              <w:right w:w="90" w:type="dxa"/>
            </w:tcMar>
            <w:vAlign w:val="center"/>
          </w:tcPr>
          <w:p w14:paraId="082CD8EA" w14:textId="77777777" w:rsidR="004668C3" w:rsidRDefault="00000000">
            <w:pPr>
              <w:spacing w:after="40"/>
            </w:pPr>
            <w:r>
              <w:rPr>
                <w:sz w:val="17"/>
              </w:rPr>
              <w:t>Next contract</w:t>
            </w:r>
          </w:p>
        </w:tc>
        <w:tc>
          <w:tcPr>
            <w:tcW w:w="2736" w:type="dxa"/>
            <w:shd w:val="clear" w:color="auto" w:fill="EAF0F8"/>
            <w:tcMar>
              <w:top w:w="75" w:type="dxa"/>
              <w:left w:w="90" w:type="dxa"/>
              <w:bottom w:w="75" w:type="dxa"/>
              <w:right w:w="90" w:type="dxa"/>
            </w:tcMar>
            <w:vAlign w:val="center"/>
          </w:tcPr>
          <w:p w14:paraId="3B8A45ED" w14:textId="77777777" w:rsidR="004668C3" w:rsidRDefault="00000000">
            <w:pPr>
              <w:spacing w:after="40"/>
            </w:pPr>
            <w:r>
              <w:rPr>
                <w:sz w:val="17"/>
              </w:rPr>
              <w:t>Next contract</w:t>
            </w:r>
          </w:p>
        </w:tc>
        <w:tc>
          <w:tcPr>
            <w:tcW w:w="4320" w:type="dxa"/>
            <w:shd w:val="clear" w:color="auto" w:fill="EAF0F8"/>
            <w:tcMar>
              <w:top w:w="75" w:type="dxa"/>
              <w:left w:w="90" w:type="dxa"/>
              <w:bottom w:w="75" w:type="dxa"/>
              <w:right w:w="90" w:type="dxa"/>
            </w:tcMar>
            <w:vAlign w:val="center"/>
          </w:tcPr>
          <w:p w14:paraId="42A9626C" w14:textId="77777777" w:rsidR="004668C3" w:rsidRDefault="00000000">
            <w:pPr>
              <w:spacing w:after="40"/>
            </w:pPr>
            <w:r>
              <w:rPr>
                <w:sz w:val="17"/>
              </w:rPr>
              <w:t>Normal weekly resize</w:t>
            </w:r>
          </w:p>
        </w:tc>
      </w:tr>
      <w:tr w:rsidR="004668C3" w14:paraId="70A883E3" w14:textId="77777777">
        <w:trPr>
          <w:cantSplit/>
          <w:jc w:val="center"/>
        </w:trPr>
        <w:tc>
          <w:tcPr>
            <w:tcW w:w="1656" w:type="dxa"/>
            <w:tcMar>
              <w:top w:w="75" w:type="dxa"/>
              <w:left w:w="90" w:type="dxa"/>
              <w:bottom w:w="75" w:type="dxa"/>
              <w:right w:w="90" w:type="dxa"/>
            </w:tcMar>
            <w:vAlign w:val="center"/>
          </w:tcPr>
          <w:p w14:paraId="48E4C392" w14:textId="77777777" w:rsidR="004668C3" w:rsidRDefault="00000000">
            <w:pPr>
              <w:spacing w:after="40"/>
            </w:pPr>
            <w:r>
              <w:rPr>
                <w:sz w:val="17"/>
              </w:rPr>
              <w:t>Following Fridays</w:t>
            </w:r>
          </w:p>
        </w:tc>
        <w:tc>
          <w:tcPr>
            <w:tcW w:w="2520" w:type="dxa"/>
            <w:tcMar>
              <w:top w:w="75" w:type="dxa"/>
              <w:left w:w="90" w:type="dxa"/>
              <w:bottom w:w="75" w:type="dxa"/>
              <w:right w:w="90" w:type="dxa"/>
            </w:tcMar>
            <w:vAlign w:val="center"/>
          </w:tcPr>
          <w:p w14:paraId="0B2F946E" w14:textId="77777777" w:rsidR="004668C3" w:rsidRDefault="00000000">
            <w:pPr>
              <w:spacing w:after="40"/>
            </w:pPr>
            <w:r>
              <w:rPr>
                <w:sz w:val="17"/>
              </w:rPr>
              <w:t>Next contract</w:t>
            </w:r>
          </w:p>
        </w:tc>
        <w:tc>
          <w:tcPr>
            <w:tcW w:w="2736" w:type="dxa"/>
            <w:tcMar>
              <w:top w:w="75" w:type="dxa"/>
              <w:left w:w="90" w:type="dxa"/>
              <w:bottom w:w="75" w:type="dxa"/>
              <w:right w:w="90" w:type="dxa"/>
            </w:tcMar>
            <w:vAlign w:val="center"/>
          </w:tcPr>
          <w:p w14:paraId="3B5DF203" w14:textId="77777777" w:rsidR="004668C3" w:rsidRDefault="00000000">
            <w:pPr>
              <w:spacing w:after="40"/>
            </w:pPr>
            <w:r>
              <w:rPr>
                <w:sz w:val="17"/>
              </w:rPr>
              <w:t>Next contract</w:t>
            </w:r>
          </w:p>
        </w:tc>
        <w:tc>
          <w:tcPr>
            <w:tcW w:w="4320" w:type="dxa"/>
            <w:tcMar>
              <w:top w:w="75" w:type="dxa"/>
              <w:left w:w="90" w:type="dxa"/>
              <w:bottom w:w="75" w:type="dxa"/>
              <w:right w:w="90" w:type="dxa"/>
            </w:tcMar>
            <w:vAlign w:val="center"/>
          </w:tcPr>
          <w:p w14:paraId="1E1A43D2" w14:textId="77777777" w:rsidR="004668C3" w:rsidRDefault="00000000">
            <w:pPr>
              <w:spacing w:after="40"/>
            </w:pPr>
            <w:r>
              <w:rPr>
                <w:sz w:val="17"/>
              </w:rPr>
              <w:t>Normal weekly resize</w:t>
            </w:r>
          </w:p>
        </w:tc>
      </w:tr>
    </w:tbl>
    <w:p w14:paraId="0BD888F0" w14:textId="77777777" w:rsidR="004668C3" w:rsidRDefault="00000000">
      <w:pPr>
        <w:spacing w:after="100"/>
      </w:pPr>
      <w:r>
        <w:lastRenderedPageBreak/>
        <w:t>The portfolio can therefore move from Sep UK / Sep Germany to Dec UK / Sep Germany and only later to Dec UK / Dec Germany. Matching futures contract months is not itself the objective. What must remain controlled is the intended UK–Germany maturity-bucket exposure and the DV01 balance of the two legs.</w:t>
      </w:r>
    </w:p>
    <w:p w14:paraId="0D0A2134" w14:textId="77777777" w:rsidR="004668C3" w:rsidRDefault="00000000">
      <w:pPr>
        <w:pStyle w:val="Heading3"/>
      </w:pPr>
      <w:r>
        <w:t>3.5.7 Roll-timing robustness specification</w:t>
      </w:r>
    </w:p>
    <w:p w14:paraId="58A87C57" w14:textId="77777777" w:rsidR="004668C3" w:rsidRDefault="00000000">
      <w:pPr>
        <w:spacing w:after="100"/>
      </w:pPr>
      <w:r>
        <w:t>Use one materially different roll-timing robustness test rather than a grid of nearby calendar windows. Under the liquidity-migration specification, roll when the next contract’s trading volume exceeds the current contract’s volume for two consecutive trading days, subject to a pre-specified safety deadline before FND/LTD. Unlike the primary specification, this robustness roll can occur midweek rather than waiting for the Friday Module A rebalance.</w:t>
      </w:r>
    </w:p>
    <w:p w14:paraId="52B6F523" w14:textId="77777777" w:rsidR="004668C3" w:rsidRDefault="00000000">
      <w:pPr>
        <w:spacing w:after="100"/>
      </w:pPr>
      <w:r>
        <w:t>The purpose is to test whether the rates results depend materially on the convenient weekly-aligned calendar convention rather than on the underlying economic exposure. The two specifications must be pre-specified and compared transparently; do not choose the roll rule that produces the highest Sharpe ratio. Volume/open-interest data can also be used diagnostically to check that the primary fixed window occurs during a plausible liquidity-transition period.</w:t>
      </w:r>
    </w:p>
    <w:p w14:paraId="4FE73042" w14:textId="77777777" w:rsidR="004668C3" w:rsidRDefault="00000000">
      <w:pPr>
        <w:pStyle w:val="Heading3"/>
      </w:pPr>
      <w:r>
        <w:t>3.5.8 Synthetic constant-maturity fallback and validation series</w:t>
      </w:r>
    </w:p>
    <w:p w14:paraId="73332712" w14:textId="77777777" w:rsidR="004668C3" w:rsidRDefault="00000000">
      <w:pPr>
        <w:spacing w:after="100"/>
      </w:pPr>
      <w:r>
        <w:t>If clean futures prices, historical contract chains, CTD/DV01 information, transaction-cost inputs or a sufficiently long common sample cannot be obtained reproducibly, use modelled constant-maturity synthetic zero-coupon returns as the rates implementation. The synthetic construction should maintain exact 2Y or 10Y maturity exposure through time, include the documented maturity roll/carry logic, and be labelled explicitly as synthetic rather than traded.</w:t>
      </w:r>
    </w:p>
    <w:p w14:paraId="0C6EC83E" w14:textId="77777777" w:rsidR="004668C3" w:rsidRDefault="00000000">
      <w:pPr>
        <w:spacing w:after="100"/>
      </w:pPr>
      <w:r>
        <w:t>Even when futures are approved as primary, retain the synthetic construction as an important robustness comparison. Similar conclusions across actual futures and exact constant-maturity synthetics would show that the result is not being driven mainly by contract selection, CTD changes, maturity drift or futures-roll mechanics. DV01 approximations from raw yield changes remain diagnostic/fallback checks only.</w:t>
      </w:r>
    </w:p>
    <w:p w14:paraId="110498D1" w14:textId="77777777" w:rsidR="004668C3" w:rsidRDefault="00000000">
      <w:pPr>
        <w:pStyle w:val="Heading3"/>
      </w:pPr>
      <w:r>
        <w:t>3.5.9 Relative curve trade - Module A starting specification</w:t>
      </w:r>
    </w:p>
    <w:p w14:paraId="7867366E" w14:textId="77777777" w:rsidR="004668C3" w:rsidRDefault="00000000">
      <w:pPr>
        <w:spacing w:after="100"/>
      </w:pPr>
      <w:r>
        <w:t>Selected starting hypothesis: a positive Module A signal (UK becoming relatively more hawkish) is expected to produce more 2s10s flattening in the UK than in Germany. Define the 2s10s slope as the 10Y yield minus the 2Y yield. The provisional positive-signal trade is therefore a UK flattener - short UK 2Y duration and long UK 10Y duration - against the opposite German curve position - long German 2Y duration and short German 10Y duration. A negative Module A signal reverses all four legs. This is a pre-specified economic hypothesis to test, not an assumption that hawkish policy must always flatten the curve.</w:t>
      </w:r>
    </w:p>
    <w:p w14:paraId="2AA0161E" w14:textId="77777777" w:rsidR="0022551D" w:rsidRDefault="00000000">
      <w:r>
        <w:rPr>
          <w:b/>
        </w:rPr>
        <w:t xml:space="preserve">Implementation. </w:t>
      </w:r>
      <w:r>
        <w:t>Reuse the same validated 2Y and 10Y rates instruments and infrastructure described above rather than introducing new markets. Government-bond futures remain the preferred desk-realistic implementation, inheriting the same active-contract mapping, weekly target-based resizing, CTD/current-DV01 treatment, maturity-drift acceptance, market-specific roll windows and transaction-cost rules. If the futures data/reproducibility gate fails, use the corresponding constant-maturity synthetic 2Y and 10Y zero-coupon legs; even when futures are primary, retain the synthetic curve as the exact-maturity robustness comparison.</w:t>
      </w:r>
    </w:p>
    <w:p w14:paraId="5A7D55FD" w14:textId="77777777" w:rsidR="0022551D" w:rsidRDefault="00000000">
      <w:r>
        <w:rPr>
          <w:b/>
        </w:rPr>
        <w:t xml:space="preserve">DV01 and risk balancing. </w:t>
      </w:r>
      <w:r>
        <w:t>First make each country curve approximately neutral to a parallel shift by matching the 2Y and 10Y leg DV01s within that country: the UK 2Y short DV01 should approximately equal the UK 10Y long DV01, and the German 2Y long DV01 should approximately equal the German 10Y short DV01. With futures, choose the nearest feasible integer contract counts using current contract/CTD-based DV01s. Then convert P&amp;L/risk to the common reporting currency and place the UK and German curve sub-portfolios on a comparable ex-ante risk basis before combining them and volatility-targeting the final relative-curve strategy.</w:t>
      </w:r>
    </w:p>
    <w:p w14:paraId="1558A3A1" w14:textId="77777777" w:rsidR="0022551D" w:rsidRDefault="00000000">
      <w:r>
        <w:rPr>
          <w:b/>
        </w:rPr>
        <w:t xml:space="preserve">Interpretation. </w:t>
      </w:r>
      <w:r>
        <w:t>The trade is a bet on relative curve shape, not simply on UK yields rising. It should profit before costs when the UK 2s10s slope falls by more than the German 2s10s slope. For example, if UK 2Y/10Y yields move +20bp/+7bp, the UK curve flattens 13bp; if German 2Y/10Y move +8bp/+5bp, Germany flattens 3bp. The UK has flattened 10bp more than Germany, which is the move the positive-signal curve specification is designed to capture. Do not search over alternative steepener/flattener signs after seeing performance; this relative-flattener mapping is the Module A starting hypothesis to freeze before holdout evaluation.</w:t>
      </w:r>
    </w:p>
    <w:p w14:paraId="1366DEC5" w14:textId="68B359A0" w:rsidR="00D51960" w:rsidRDefault="00D51960">
      <w:r>
        <w:rPr>
          <w:rStyle w:val="Strong"/>
          <w:color w:val="000000"/>
        </w:rPr>
        <w:lastRenderedPageBreak/>
        <w:t>Curvature diagnostic (not a traded specification).</w:t>
      </w:r>
      <w:r>
        <w:rPr>
          <w:rStyle w:val="apple-converted-space"/>
          <w:color w:val="000000"/>
        </w:rPr>
        <w:t> </w:t>
      </w:r>
      <w:r>
        <w:rPr>
          <w:color w:val="000000"/>
        </w:rPr>
        <w:t>If clean 5Y UK and German rates data are readily available, the project may also inspect 2s5s10s curvature/butterfly measures to help explain whether unusual 2s10s behaviour is being driven by the belly of the curve rather than by a simple steepening or flattening. This is diagnostic only: it does not generate the Module A signal, does not create an additional portfolio sleeve, and must not be used to search for a better-performing curve trade.</w:t>
      </w:r>
    </w:p>
    <w:p w14:paraId="048A0D5E" w14:textId="77777777" w:rsidR="0022551D" w:rsidRDefault="00000000">
      <w:pPr>
        <w:pStyle w:val="Heading3"/>
      </w:pPr>
      <w:r>
        <w:t>3.5.10 Equal-risk rates-FX basket - Module A starting specification</w:t>
      </w:r>
    </w:p>
    <w:p w14:paraId="3F2F7344" w14:textId="77777777" w:rsidR="0022551D" w:rsidRDefault="00000000">
      <w:r>
        <w:rPr>
          <w:b/>
        </w:rPr>
        <w:t xml:space="preserve">Primary basket freeze. </w:t>
      </w:r>
      <w:r>
        <w:t>The primary Module A basket is the one-month GBP/EUR forward plus the DV01-balanced UK-Germany 2Y rates spread, combined on an equal-risk basis. Both sleeves remain driven by the same Module A slow-divergence signal; the basket is a portfolio expression of that common view, not a separate alpha model. Do not search across every possible subset and choose whichever combination has the highest historical Sharpe ratio.</w:t>
      </w:r>
    </w:p>
    <w:p w14:paraId="1A65C050" w14:textId="77777777" w:rsidR="0022551D" w:rsidRDefault="00000000">
      <w:r>
        <w:rPr>
          <w:b/>
        </w:rPr>
        <w:t xml:space="preserve">Weighting and portfolio mechanics. </w:t>
      </w:r>
      <w:r>
        <w:t>Place the FX and rates sleeves on a comparable ex-ante risk scale using only lagged information, rather than allocating equal cash notionals or fitting performance-based weights. Combine the resulting sleeve targets, net any overlapping underlying positions before trading, and apply the common portfolio-level volatility/cap framework. Equal-weighting remains a benchmark; historical Sharpe-optimised weights are not part of the primary specification.</w:t>
      </w:r>
    </w:p>
    <w:p w14:paraId="4C8F70EA" w14:textId="77777777" w:rsidR="0022551D" w:rsidRDefault="00000000">
      <w:r>
        <w:rPr>
          <w:b/>
        </w:rPr>
        <w:t xml:space="preserve">Pre-registered incremental questions. </w:t>
      </w:r>
      <w:r>
        <w:t>The optional 10Y and curve sleeves must earn inclusion through two questions fixed before holdout evaluation:</w:t>
      </w:r>
    </w:p>
    <w:p w14:paraId="35EB8F29" w14:textId="77777777" w:rsidR="0022551D" w:rsidRDefault="00000000">
      <w:pPr>
        <w:pStyle w:val="ListBullet"/>
      </w:pPr>
      <w:r>
        <w:t>Does adding the UK-Germany 10Y spread improve the core FX + 2Y basket on diversification and stability grounds?</w:t>
      </w:r>
    </w:p>
    <w:p w14:paraId="28DFDCAE" w14:textId="77777777" w:rsidR="0022551D" w:rsidRDefault="00000000">
      <w:pPr>
        <w:pStyle w:val="ListBullet"/>
      </w:pPr>
      <w:r>
        <w:t>Does adding the relative 2s10s curve trade improve the core FX + 2Y basket on diversification and stability grounds?</w:t>
      </w:r>
    </w:p>
    <w:p w14:paraId="2F21CF50" w14:textId="77777777" w:rsidR="0022551D" w:rsidRDefault="00000000">
      <w:r>
        <w:rPr>
          <w:b/>
        </w:rPr>
        <w:t xml:space="preserve">Inclusion gate and overfitting control. </w:t>
      </w:r>
      <w:r>
        <w:t>Assess each optional sleeve separately using the development sample and walk-forward evidence only. The decision should consider incremental correlation/diversification, marginal risk contribution, drawdown and regime stability, and performance after incremental transaction costs; an optional sleeve does not need the best standalone Sharpe to add portfolio value. Freeze the inclusion rule and any selected extension before opening the final holdout. The full four-expression basket may still be reported as a diagnostic/robustness result, but it must not become the headline basket simply because it performs best in sample. Empirical evidence may validate a pre-specified extension; it should not freely invent basket membership or weights.</w:t>
      </w:r>
    </w:p>
    <w:p w14:paraId="3F1AEA35" w14:textId="77777777" w:rsidR="004668C3" w:rsidRDefault="00000000">
      <w:pPr>
        <w:pStyle w:val="Heading2"/>
      </w:pPr>
      <w:r>
        <w:t>3.6 Module A benchmarks</w:t>
      </w:r>
    </w:p>
    <w:p w14:paraId="0697CB4C" w14:textId="77777777" w:rsidR="004668C3" w:rsidRDefault="00000000">
      <w:pPr>
        <w:spacing w:after="100"/>
      </w:pPr>
      <w:r>
        <w:t>Module A needs a relatively broad benchmark ladder because its central claim is signal skill over repeated calendar observations. The benchmarks distinguish passive exposure, simple factor exposure and risk-management effects.</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2880"/>
        <w:gridCol w:w="2880"/>
        <w:gridCol w:w="4896"/>
      </w:tblGrid>
      <w:tr w:rsidR="004668C3" w14:paraId="65B3366F" w14:textId="77777777">
        <w:trPr>
          <w:cantSplit/>
          <w:tblHeader/>
          <w:jc w:val="center"/>
        </w:trPr>
        <w:tc>
          <w:tcPr>
            <w:tcW w:w="2880" w:type="dxa"/>
            <w:shd w:val="clear" w:color="auto" w:fill="17365D"/>
            <w:tcMar>
              <w:top w:w="90" w:type="dxa"/>
              <w:left w:w="110" w:type="dxa"/>
              <w:bottom w:w="90" w:type="dxa"/>
              <w:right w:w="110" w:type="dxa"/>
            </w:tcMar>
            <w:vAlign w:val="center"/>
          </w:tcPr>
          <w:p w14:paraId="085EE680" w14:textId="77777777" w:rsidR="004668C3" w:rsidRDefault="00000000">
            <w:r>
              <w:rPr>
                <w:b/>
                <w:color w:val="FFFFFF"/>
                <w:sz w:val="17"/>
              </w:rPr>
              <w:t>Benchmark</w:t>
            </w:r>
          </w:p>
        </w:tc>
        <w:tc>
          <w:tcPr>
            <w:tcW w:w="2880" w:type="dxa"/>
            <w:shd w:val="clear" w:color="auto" w:fill="17365D"/>
            <w:tcMar>
              <w:top w:w="90" w:type="dxa"/>
              <w:left w:w="110" w:type="dxa"/>
              <w:bottom w:w="90" w:type="dxa"/>
              <w:right w:w="110" w:type="dxa"/>
            </w:tcMar>
            <w:vAlign w:val="center"/>
          </w:tcPr>
          <w:p w14:paraId="3BBD5F58" w14:textId="77777777" w:rsidR="004668C3" w:rsidRDefault="00000000">
            <w:r>
              <w:rPr>
                <w:b/>
                <w:color w:val="FFFFFF"/>
                <w:sz w:val="17"/>
              </w:rPr>
              <w:t>Where used</w:t>
            </w:r>
          </w:p>
        </w:tc>
        <w:tc>
          <w:tcPr>
            <w:tcW w:w="4896" w:type="dxa"/>
            <w:shd w:val="clear" w:color="auto" w:fill="17365D"/>
            <w:tcMar>
              <w:top w:w="90" w:type="dxa"/>
              <w:left w:w="110" w:type="dxa"/>
              <w:bottom w:w="90" w:type="dxa"/>
              <w:right w:w="110" w:type="dxa"/>
            </w:tcMar>
            <w:vAlign w:val="center"/>
          </w:tcPr>
          <w:p w14:paraId="6AFF7833" w14:textId="77777777" w:rsidR="004668C3" w:rsidRDefault="00000000">
            <w:r>
              <w:rPr>
                <w:b/>
                <w:color w:val="FFFFFF"/>
                <w:sz w:val="17"/>
              </w:rPr>
              <w:t>What it tests</w:t>
            </w:r>
          </w:p>
        </w:tc>
      </w:tr>
      <w:tr w:rsidR="004668C3" w14:paraId="187DC593" w14:textId="77777777">
        <w:trPr>
          <w:cantSplit/>
          <w:jc w:val="center"/>
        </w:trPr>
        <w:tc>
          <w:tcPr>
            <w:tcW w:w="2880" w:type="dxa"/>
            <w:tcMar>
              <w:top w:w="90" w:type="dxa"/>
              <w:left w:w="110" w:type="dxa"/>
              <w:bottom w:w="90" w:type="dxa"/>
              <w:right w:w="110" w:type="dxa"/>
            </w:tcMar>
          </w:tcPr>
          <w:p w14:paraId="273C2E8C" w14:textId="77777777" w:rsidR="004668C3" w:rsidRDefault="00000000">
            <w:pPr>
              <w:spacing w:after="0"/>
            </w:pPr>
            <w:r>
              <w:rPr>
                <w:sz w:val="17"/>
              </w:rPr>
              <w:t>No position</w:t>
            </w:r>
          </w:p>
        </w:tc>
        <w:tc>
          <w:tcPr>
            <w:tcW w:w="2880" w:type="dxa"/>
            <w:tcMar>
              <w:top w:w="90" w:type="dxa"/>
              <w:left w:w="110" w:type="dxa"/>
              <w:bottom w:w="90" w:type="dxa"/>
              <w:right w:w="110" w:type="dxa"/>
            </w:tcMar>
          </w:tcPr>
          <w:p w14:paraId="4AD26BC1" w14:textId="77777777" w:rsidR="004668C3" w:rsidRDefault="00000000">
            <w:pPr>
              <w:spacing w:after="0"/>
            </w:pPr>
            <w:r>
              <w:rPr>
                <w:sz w:val="17"/>
              </w:rPr>
              <w:t>Every Module A strategy</w:t>
            </w:r>
          </w:p>
        </w:tc>
        <w:tc>
          <w:tcPr>
            <w:tcW w:w="4896" w:type="dxa"/>
            <w:tcMar>
              <w:top w:w="90" w:type="dxa"/>
              <w:left w:w="110" w:type="dxa"/>
              <w:bottom w:w="90" w:type="dxa"/>
              <w:right w:w="110" w:type="dxa"/>
            </w:tcMar>
          </w:tcPr>
          <w:p w14:paraId="057C9C1D" w14:textId="77777777" w:rsidR="004668C3" w:rsidRDefault="00000000">
            <w:pPr>
              <w:spacing w:after="0"/>
            </w:pPr>
            <w:r>
              <w:rPr>
                <w:sz w:val="17"/>
              </w:rPr>
              <w:t>Did trading add value at all?</w:t>
            </w:r>
          </w:p>
        </w:tc>
      </w:tr>
      <w:tr w:rsidR="004668C3" w14:paraId="2D9903F0" w14:textId="77777777">
        <w:trPr>
          <w:cantSplit/>
          <w:jc w:val="center"/>
        </w:trPr>
        <w:tc>
          <w:tcPr>
            <w:tcW w:w="2880" w:type="dxa"/>
            <w:shd w:val="clear" w:color="auto" w:fill="EEF4FA"/>
            <w:tcMar>
              <w:top w:w="90" w:type="dxa"/>
              <w:left w:w="110" w:type="dxa"/>
              <w:bottom w:w="90" w:type="dxa"/>
              <w:right w:w="110" w:type="dxa"/>
            </w:tcMar>
          </w:tcPr>
          <w:p w14:paraId="2C11655B" w14:textId="77777777" w:rsidR="004668C3" w:rsidRDefault="00000000">
            <w:pPr>
              <w:spacing w:after="0"/>
            </w:pPr>
            <w:r>
              <w:rPr>
                <w:sz w:val="17"/>
              </w:rPr>
              <w:t>Constant direction</w:t>
            </w:r>
          </w:p>
        </w:tc>
        <w:tc>
          <w:tcPr>
            <w:tcW w:w="2880" w:type="dxa"/>
            <w:shd w:val="clear" w:color="auto" w:fill="EEF4FA"/>
            <w:tcMar>
              <w:top w:w="90" w:type="dxa"/>
              <w:left w:w="110" w:type="dxa"/>
              <w:bottom w:w="90" w:type="dxa"/>
              <w:right w:w="110" w:type="dxa"/>
            </w:tcMar>
          </w:tcPr>
          <w:p w14:paraId="326A1C71" w14:textId="77777777" w:rsidR="004668C3" w:rsidRDefault="00000000">
            <w:pPr>
              <w:spacing w:after="0"/>
            </w:pPr>
            <w:r>
              <w:rPr>
                <w:sz w:val="17"/>
              </w:rPr>
              <w:t>FX and rates where economically relevant</w:t>
            </w:r>
          </w:p>
        </w:tc>
        <w:tc>
          <w:tcPr>
            <w:tcW w:w="4896" w:type="dxa"/>
            <w:shd w:val="clear" w:color="auto" w:fill="EEF4FA"/>
            <w:tcMar>
              <w:top w:w="90" w:type="dxa"/>
              <w:left w:w="110" w:type="dxa"/>
              <w:bottom w:w="90" w:type="dxa"/>
              <w:right w:w="110" w:type="dxa"/>
            </w:tcMar>
          </w:tcPr>
          <w:p w14:paraId="2BD1E05C" w14:textId="77777777" w:rsidR="004668C3" w:rsidRDefault="00000000">
            <w:pPr>
              <w:spacing w:after="0"/>
            </w:pPr>
            <w:r>
              <w:rPr>
                <w:sz w:val="17"/>
              </w:rPr>
              <w:t>Is performance just persistent long GBP or persistent duration exposure?</w:t>
            </w:r>
          </w:p>
        </w:tc>
      </w:tr>
      <w:tr w:rsidR="004668C3" w14:paraId="78177FB7" w14:textId="77777777">
        <w:trPr>
          <w:cantSplit/>
          <w:jc w:val="center"/>
        </w:trPr>
        <w:tc>
          <w:tcPr>
            <w:tcW w:w="2880" w:type="dxa"/>
            <w:tcMar>
              <w:top w:w="90" w:type="dxa"/>
              <w:left w:w="110" w:type="dxa"/>
              <w:bottom w:w="90" w:type="dxa"/>
              <w:right w:w="110" w:type="dxa"/>
            </w:tcMar>
          </w:tcPr>
          <w:p w14:paraId="6238D1D9" w14:textId="77777777" w:rsidR="004668C3" w:rsidRDefault="00000000">
            <w:pPr>
              <w:spacing w:after="0"/>
            </w:pPr>
            <w:r>
              <w:rPr>
                <w:sz w:val="17"/>
              </w:rPr>
              <w:t>Carry-only FX</w:t>
            </w:r>
          </w:p>
        </w:tc>
        <w:tc>
          <w:tcPr>
            <w:tcW w:w="2880" w:type="dxa"/>
            <w:tcMar>
              <w:top w:w="90" w:type="dxa"/>
              <w:left w:w="110" w:type="dxa"/>
              <w:bottom w:w="90" w:type="dxa"/>
              <w:right w:w="110" w:type="dxa"/>
            </w:tcMar>
          </w:tcPr>
          <w:p w14:paraId="38D74C7F" w14:textId="77777777" w:rsidR="004668C3" w:rsidRDefault="00000000">
            <w:pPr>
              <w:spacing w:after="0"/>
            </w:pPr>
            <w:r>
              <w:rPr>
                <w:sz w:val="17"/>
              </w:rPr>
              <w:t>One-month forward</w:t>
            </w:r>
          </w:p>
        </w:tc>
        <w:tc>
          <w:tcPr>
            <w:tcW w:w="4896" w:type="dxa"/>
            <w:tcMar>
              <w:top w:w="90" w:type="dxa"/>
              <w:left w:w="110" w:type="dxa"/>
              <w:bottom w:w="90" w:type="dxa"/>
              <w:right w:w="110" w:type="dxa"/>
            </w:tcMar>
          </w:tcPr>
          <w:p w14:paraId="369E75BC" w14:textId="77777777" w:rsidR="004668C3" w:rsidRDefault="00000000">
            <w:pPr>
              <w:spacing w:after="0"/>
            </w:pPr>
            <w:r>
              <w:rPr>
                <w:sz w:val="17"/>
              </w:rPr>
              <w:t>Does the policy signal beat simply holding the higher-yielding currency?</w:t>
            </w:r>
          </w:p>
        </w:tc>
      </w:tr>
      <w:tr w:rsidR="004668C3" w14:paraId="3EDBD7A2" w14:textId="77777777">
        <w:trPr>
          <w:cantSplit/>
          <w:jc w:val="center"/>
        </w:trPr>
        <w:tc>
          <w:tcPr>
            <w:tcW w:w="2880" w:type="dxa"/>
            <w:shd w:val="clear" w:color="auto" w:fill="EEF4FA"/>
            <w:tcMar>
              <w:top w:w="90" w:type="dxa"/>
              <w:left w:w="110" w:type="dxa"/>
              <w:bottom w:w="90" w:type="dxa"/>
              <w:right w:w="110" w:type="dxa"/>
            </w:tcMar>
          </w:tcPr>
          <w:p w14:paraId="388B8831" w14:textId="77777777" w:rsidR="004668C3" w:rsidRDefault="00000000">
            <w:pPr>
              <w:spacing w:after="0"/>
            </w:pPr>
            <w:r>
              <w:rPr>
                <w:sz w:val="17"/>
              </w:rPr>
              <w:t>Trend-only</w:t>
            </w:r>
          </w:p>
        </w:tc>
        <w:tc>
          <w:tcPr>
            <w:tcW w:w="2880" w:type="dxa"/>
            <w:shd w:val="clear" w:color="auto" w:fill="EEF4FA"/>
            <w:tcMar>
              <w:top w:w="90" w:type="dxa"/>
              <w:left w:w="110" w:type="dxa"/>
              <w:bottom w:w="90" w:type="dxa"/>
              <w:right w:w="110" w:type="dxa"/>
            </w:tcMar>
          </w:tcPr>
          <w:p w14:paraId="5BF48B41" w14:textId="77777777" w:rsidR="004668C3" w:rsidRDefault="00000000">
            <w:pPr>
              <w:spacing w:after="0"/>
            </w:pPr>
            <w:r>
              <w:rPr>
                <w:sz w:val="17"/>
              </w:rPr>
              <w:t>FX and potentially rates</w:t>
            </w:r>
          </w:p>
        </w:tc>
        <w:tc>
          <w:tcPr>
            <w:tcW w:w="4896" w:type="dxa"/>
            <w:shd w:val="clear" w:color="auto" w:fill="EEF4FA"/>
            <w:tcMar>
              <w:top w:w="90" w:type="dxa"/>
              <w:left w:w="110" w:type="dxa"/>
              <w:bottom w:w="90" w:type="dxa"/>
              <w:right w:w="110" w:type="dxa"/>
            </w:tcMar>
          </w:tcPr>
          <w:p w14:paraId="4F8F1314" w14:textId="77777777" w:rsidR="004668C3" w:rsidRDefault="00000000">
            <w:pPr>
              <w:spacing w:after="0"/>
            </w:pPr>
            <w:r>
              <w:rPr>
                <w:sz w:val="17"/>
              </w:rPr>
              <w:t>Is the macro signal merely following recent price movement?</w:t>
            </w:r>
          </w:p>
        </w:tc>
      </w:tr>
      <w:tr w:rsidR="004668C3" w14:paraId="162F2B9C" w14:textId="77777777">
        <w:trPr>
          <w:cantSplit/>
          <w:jc w:val="center"/>
        </w:trPr>
        <w:tc>
          <w:tcPr>
            <w:tcW w:w="2880" w:type="dxa"/>
            <w:tcMar>
              <w:top w:w="90" w:type="dxa"/>
              <w:left w:w="110" w:type="dxa"/>
              <w:bottom w:w="90" w:type="dxa"/>
              <w:right w:w="110" w:type="dxa"/>
            </w:tcMar>
          </w:tcPr>
          <w:p w14:paraId="12EC34E0" w14:textId="77777777" w:rsidR="004668C3" w:rsidRDefault="00000000">
            <w:pPr>
              <w:spacing w:after="0"/>
            </w:pPr>
            <w:r>
              <w:rPr>
                <w:sz w:val="17"/>
              </w:rPr>
              <w:t>Rate-differential level-only</w:t>
            </w:r>
          </w:p>
        </w:tc>
        <w:tc>
          <w:tcPr>
            <w:tcW w:w="2880" w:type="dxa"/>
            <w:tcMar>
              <w:top w:w="90" w:type="dxa"/>
              <w:left w:w="110" w:type="dxa"/>
              <w:bottom w:w="90" w:type="dxa"/>
              <w:right w:w="110" w:type="dxa"/>
            </w:tcMar>
          </w:tcPr>
          <w:p w14:paraId="0AB532BF" w14:textId="77777777" w:rsidR="004668C3" w:rsidRDefault="00000000">
            <w:pPr>
              <w:spacing w:after="0"/>
            </w:pPr>
            <w:r>
              <w:rPr>
                <w:sz w:val="17"/>
              </w:rPr>
              <w:t>FX / relative rates</w:t>
            </w:r>
          </w:p>
        </w:tc>
        <w:tc>
          <w:tcPr>
            <w:tcW w:w="4896" w:type="dxa"/>
            <w:tcMar>
              <w:top w:w="90" w:type="dxa"/>
              <w:left w:w="110" w:type="dxa"/>
              <w:bottom w:w="90" w:type="dxa"/>
              <w:right w:w="110" w:type="dxa"/>
            </w:tcMar>
          </w:tcPr>
          <w:p w14:paraId="646873CB" w14:textId="77777777" w:rsidR="004668C3" w:rsidRDefault="00000000">
            <w:pPr>
              <w:spacing w:after="0"/>
            </w:pPr>
            <w:r>
              <w:rPr>
                <w:sz w:val="17"/>
              </w:rPr>
              <w:t>Does recent repricing add more than the current level of the rate gap?</w:t>
            </w:r>
          </w:p>
        </w:tc>
      </w:tr>
      <w:tr w:rsidR="004668C3" w14:paraId="50AA39EC" w14:textId="77777777">
        <w:trPr>
          <w:cantSplit/>
          <w:jc w:val="center"/>
        </w:trPr>
        <w:tc>
          <w:tcPr>
            <w:tcW w:w="2880" w:type="dxa"/>
            <w:shd w:val="clear" w:color="auto" w:fill="EEF4FA"/>
            <w:tcMar>
              <w:top w:w="90" w:type="dxa"/>
              <w:left w:w="110" w:type="dxa"/>
              <w:bottom w:w="90" w:type="dxa"/>
              <w:right w:w="110" w:type="dxa"/>
            </w:tcMar>
          </w:tcPr>
          <w:p w14:paraId="2AA8B2A0" w14:textId="77777777" w:rsidR="004668C3" w:rsidRDefault="00000000">
            <w:pPr>
              <w:spacing w:after="0"/>
            </w:pPr>
            <w:r>
              <w:rPr>
                <w:sz w:val="17"/>
              </w:rPr>
              <w:t>Unscaled versus volatility-targeted</w:t>
            </w:r>
          </w:p>
        </w:tc>
        <w:tc>
          <w:tcPr>
            <w:tcW w:w="2880" w:type="dxa"/>
            <w:shd w:val="clear" w:color="auto" w:fill="EEF4FA"/>
            <w:tcMar>
              <w:top w:w="90" w:type="dxa"/>
              <w:left w:w="110" w:type="dxa"/>
              <w:bottom w:w="90" w:type="dxa"/>
              <w:right w:w="110" w:type="dxa"/>
            </w:tcMar>
          </w:tcPr>
          <w:p w14:paraId="24D96B62" w14:textId="77777777" w:rsidR="004668C3" w:rsidRDefault="00000000">
            <w:pPr>
              <w:spacing w:after="0"/>
            </w:pPr>
            <w:r>
              <w:rPr>
                <w:sz w:val="17"/>
              </w:rPr>
              <w:t>Every strategy</w:t>
            </w:r>
          </w:p>
        </w:tc>
        <w:tc>
          <w:tcPr>
            <w:tcW w:w="4896" w:type="dxa"/>
            <w:shd w:val="clear" w:color="auto" w:fill="EEF4FA"/>
            <w:tcMar>
              <w:top w:w="90" w:type="dxa"/>
              <w:left w:w="110" w:type="dxa"/>
              <w:bottom w:w="90" w:type="dxa"/>
              <w:right w:w="110" w:type="dxa"/>
            </w:tcMar>
          </w:tcPr>
          <w:p w14:paraId="43F95E7A" w14:textId="77777777" w:rsidR="004668C3" w:rsidRDefault="00000000">
            <w:pPr>
              <w:spacing w:after="0"/>
            </w:pPr>
            <w:r>
              <w:rPr>
                <w:sz w:val="17"/>
              </w:rPr>
              <w:t>How much comes from directional signal skill versus risk management?</w:t>
            </w:r>
          </w:p>
        </w:tc>
      </w:tr>
      <w:tr w:rsidR="004668C3" w14:paraId="04A1DF11" w14:textId="77777777">
        <w:trPr>
          <w:cantSplit/>
          <w:jc w:val="center"/>
        </w:trPr>
        <w:tc>
          <w:tcPr>
            <w:tcW w:w="2880" w:type="dxa"/>
            <w:tcMar>
              <w:top w:w="90" w:type="dxa"/>
              <w:left w:w="110" w:type="dxa"/>
              <w:bottom w:w="90" w:type="dxa"/>
              <w:right w:w="110" w:type="dxa"/>
            </w:tcMar>
          </w:tcPr>
          <w:p w14:paraId="2D7CF724" w14:textId="77777777" w:rsidR="004668C3" w:rsidRDefault="00000000">
            <w:pPr>
              <w:spacing w:after="0"/>
            </w:pPr>
            <w:r>
              <w:rPr>
                <w:sz w:val="17"/>
              </w:rPr>
              <w:t>Equal weight versus equal risk</w:t>
            </w:r>
          </w:p>
        </w:tc>
        <w:tc>
          <w:tcPr>
            <w:tcW w:w="2880" w:type="dxa"/>
            <w:tcMar>
              <w:top w:w="90" w:type="dxa"/>
              <w:left w:w="110" w:type="dxa"/>
              <w:bottom w:w="90" w:type="dxa"/>
              <w:right w:w="110" w:type="dxa"/>
            </w:tcMar>
          </w:tcPr>
          <w:p w14:paraId="2E21E2D7" w14:textId="77777777" w:rsidR="004668C3" w:rsidRDefault="00000000">
            <w:pPr>
              <w:spacing w:after="0"/>
            </w:pPr>
            <w:r>
              <w:rPr>
                <w:sz w:val="17"/>
              </w:rPr>
              <w:t>Module A basket</w:t>
            </w:r>
          </w:p>
        </w:tc>
        <w:tc>
          <w:tcPr>
            <w:tcW w:w="4896" w:type="dxa"/>
            <w:tcMar>
              <w:top w:w="90" w:type="dxa"/>
              <w:left w:w="110" w:type="dxa"/>
              <w:bottom w:w="90" w:type="dxa"/>
              <w:right w:w="110" w:type="dxa"/>
            </w:tcMar>
          </w:tcPr>
          <w:p w14:paraId="650825E0" w14:textId="77777777" w:rsidR="004668C3" w:rsidRDefault="00000000">
            <w:pPr>
              <w:spacing w:after="0"/>
            </w:pPr>
            <w:r>
              <w:rPr>
                <w:sz w:val="17"/>
              </w:rPr>
              <w:t>Does risk balancing improve stability, or just dilute the best expression?</w:t>
            </w:r>
          </w:p>
        </w:tc>
      </w:tr>
    </w:tbl>
    <w:p w14:paraId="50F736BD" w14:textId="77777777" w:rsidR="004668C3" w:rsidRDefault="004668C3">
      <w:pPr>
        <w:spacing w:after="100"/>
      </w:pPr>
    </w:p>
    <w:p w14:paraId="36FBC6E7" w14:textId="77777777" w:rsidR="004668C3" w:rsidRDefault="00000000">
      <w:pPr>
        <w:pStyle w:val="Heading2"/>
      </w:pPr>
      <w:r>
        <w:lastRenderedPageBreak/>
        <w:t>3.7 Primary and secondary Module A outputs</w:t>
      </w:r>
    </w:p>
    <w:p w14:paraId="740A6860" w14:textId="77777777" w:rsidR="004668C3" w:rsidRDefault="00000000">
      <w:pPr>
        <w:pStyle w:val="ListBullet"/>
        <w:spacing w:after="50"/>
        <w:ind w:left="230" w:hanging="173"/>
      </w:pPr>
      <w:r>
        <w:rPr>
          <w:b/>
        </w:rPr>
        <w:t>Headline 1:</w:t>
      </w:r>
      <w:r>
        <w:t xml:space="preserve"> one-month GBP/EUR forward strategy driven by the common slow-divergence signal.</w:t>
      </w:r>
    </w:p>
    <w:p w14:paraId="4E53309F" w14:textId="77777777" w:rsidR="004668C3" w:rsidRDefault="00000000">
      <w:pPr>
        <w:pStyle w:val="ListBullet"/>
        <w:spacing w:after="50"/>
        <w:ind w:left="230" w:hanging="173"/>
      </w:pPr>
      <w:r>
        <w:rPr>
          <w:b/>
        </w:rPr>
        <w:t>Headline 2:</w:t>
      </w:r>
      <w:r>
        <w:t xml:space="preserve"> DV01-balanced UK–Germany 2Y strategy driven by the same signal.</w:t>
      </w:r>
    </w:p>
    <w:p w14:paraId="687D2671" w14:textId="77777777" w:rsidR="004668C3" w:rsidRPr="00D51960" w:rsidRDefault="00000000">
      <w:pPr>
        <w:pStyle w:val="ListBullet"/>
        <w:spacing w:after="50"/>
        <w:ind w:left="230" w:hanging="173"/>
        <w:rPr>
          <w:szCs w:val="20"/>
        </w:rPr>
      </w:pPr>
      <w:r>
        <w:rPr>
          <w:b/>
        </w:rPr>
        <w:t>Secondary:</w:t>
      </w:r>
      <w:r>
        <w:t xml:space="preserve"> 10Y spread </w:t>
      </w:r>
      <w:r w:rsidRPr="00D51960">
        <w:rPr>
          <w:szCs w:val="20"/>
        </w:rPr>
        <w:t>and one economically pre-specified relative curve trade, subject to the data gate.</w:t>
      </w:r>
    </w:p>
    <w:p w14:paraId="24389F5C" w14:textId="77777777" w:rsidR="004668C3" w:rsidRPr="00D51960" w:rsidRDefault="00000000">
      <w:pPr>
        <w:pStyle w:val="ListBullet"/>
        <w:spacing w:after="50"/>
        <w:ind w:left="230" w:hanging="173"/>
        <w:rPr>
          <w:szCs w:val="20"/>
        </w:rPr>
      </w:pPr>
      <w:r w:rsidRPr="00D51960">
        <w:rPr>
          <w:szCs w:val="20"/>
        </w:rPr>
        <w:t>Portfolio: primary equal-risk basket = one-month forward + 2Y spread; 10Y and curve are pre-registered extensions assessed separately on development/walk-forward evidence and frozen before holdout evaluation.</w:t>
      </w:r>
    </w:p>
    <w:p w14:paraId="2B464BE3" w14:textId="27B1A2AA" w:rsidR="004668C3" w:rsidRPr="00D51960" w:rsidRDefault="00000000">
      <w:pPr>
        <w:pStyle w:val="ListBullet"/>
        <w:spacing w:after="50"/>
        <w:ind w:left="230" w:hanging="173"/>
        <w:rPr>
          <w:szCs w:val="20"/>
        </w:rPr>
      </w:pPr>
      <w:r w:rsidRPr="00D51960">
        <w:rPr>
          <w:b/>
          <w:szCs w:val="20"/>
        </w:rPr>
        <w:t>Diagnostics:</w:t>
      </w:r>
      <w:r w:rsidRPr="00D51960">
        <w:rPr>
          <w:szCs w:val="20"/>
        </w:rPr>
        <w:t xml:space="preserve"> </w:t>
      </w:r>
      <w:r w:rsidR="00D51960" w:rsidRPr="00D51960">
        <w:rPr>
          <w:color w:val="000000"/>
          <w:szCs w:val="20"/>
        </w:rPr>
        <w:t>EUR/GBP spot, raw OIS signal components, individual rates legs, 2s10s slopes, optional 5Y / 2s5s10s curvature measures, turnover and costs.</w:t>
      </w:r>
    </w:p>
    <w:p w14:paraId="42DA1789" w14:textId="77777777" w:rsidR="004668C3" w:rsidRDefault="00000000">
      <w:pPr>
        <w:pStyle w:val="Heading1"/>
      </w:pPr>
      <w:r>
        <w:rPr>
          <w:rFonts w:ascii="Aptos" w:eastAsia="Aptos" w:hAnsi="Aptos"/>
          <w:b w:val="0"/>
        </w:rPr>
        <w:t>4. Module B — monetary-policy event surprises</w:t>
      </w:r>
    </w:p>
    <w:p w14:paraId="43C5B4F7" w14:textId="77777777" w:rsidR="004668C3" w:rsidRDefault="00000000">
      <w:pPr>
        <w:spacing w:after="100"/>
      </w:pPr>
      <w:r>
        <w:t>Module B asks a different question: when genuinely unexpected policy information arrives at a BoE or ECB announcement, which expression reacts most directly, and is there any implementable continuation or reversal after the surprise becomes observable? It is event-driven, not weekly.</w:t>
      </w:r>
    </w:p>
    <w:p w14:paraId="12BC4B8A" w14:textId="77777777" w:rsidR="004668C3" w:rsidRDefault="00000000">
      <w:pPr>
        <w:pStyle w:val="Heading2"/>
      </w:pPr>
      <w:r>
        <w:rPr>
          <w:rFonts w:ascii="Aptos" w:eastAsia="Aptos" w:hAnsi="Aptos"/>
          <w:b w:val="0"/>
        </w:rPr>
        <w:t>4.1 What defines the signal</w:t>
      </w:r>
    </w:p>
    <w:p w14:paraId="5CAA9E82" w14:textId="77777777" w:rsidR="004668C3" w:rsidRDefault="00000000">
      <w:pPr>
        <w:spacing w:after="100"/>
      </w:pPr>
      <w:r>
        <w:t>The signal is supplied by identified event-surprise factors from UKMPD and EA-MPD. The factor families should remain separate because they represent different dimensions of policy news.</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2520"/>
        <w:gridCol w:w="4680"/>
        <w:gridCol w:w="3456"/>
      </w:tblGrid>
      <w:tr w:rsidR="004668C3" w14:paraId="3628A3BA" w14:textId="77777777">
        <w:trPr>
          <w:cantSplit/>
          <w:tblHeader/>
          <w:jc w:val="center"/>
        </w:trPr>
        <w:tc>
          <w:tcPr>
            <w:tcW w:w="2520" w:type="dxa"/>
            <w:shd w:val="clear" w:color="auto" w:fill="17365D"/>
            <w:tcMar>
              <w:top w:w="90" w:type="dxa"/>
              <w:left w:w="110" w:type="dxa"/>
              <w:bottom w:w="90" w:type="dxa"/>
              <w:right w:w="110" w:type="dxa"/>
            </w:tcMar>
            <w:vAlign w:val="center"/>
          </w:tcPr>
          <w:p w14:paraId="188FD5F8" w14:textId="77777777" w:rsidR="004668C3" w:rsidRDefault="00000000">
            <w:r>
              <w:rPr>
                <w:b/>
                <w:color w:val="FFFFFF"/>
                <w:sz w:val="18"/>
              </w:rPr>
              <w:t>Factor</w:t>
            </w:r>
          </w:p>
        </w:tc>
        <w:tc>
          <w:tcPr>
            <w:tcW w:w="4680" w:type="dxa"/>
            <w:shd w:val="clear" w:color="auto" w:fill="17365D"/>
            <w:tcMar>
              <w:top w:w="90" w:type="dxa"/>
              <w:left w:w="110" w:type="dxa"/>
              <w:bottom w:w="90" w:type="dxa"/>
              <w:right w:w="110" w:type="dxa"/>
            </w:tcMar>
            <w:vAlign w:val="center"/>
          </w:tcPr>
          <w:p w14:paraId="61103E6B" w14:textId="77777777" w:rsidR="004668C3" w:rsidRDefault="00000000">
            <w:r>
              <w:rPr>
                <w:b/>
                <w:color w:val="FFFFFF"/>
                <w:sz w:val="18"/>
              </w:rPr>
              <w:t>Economic meaning</w:t>
            </w:r>
          </w:p>
        </w:tc>
        <w:tc>
          <w:tcPr>
            <w:tcW w:w="3456" w:type="dxa"/>
            <w:shd w:val="clear" w:color="auto" w:fill="17365D"/>
            <w:tcMar>
              <w:top w:w="90" w:type="dxa"/>
              <w:left w:w="110" w:type="dxa"/>
              <w:bottom w:w="90" w:type="dxa"/>
              <w:right w:w="110" w:type="dxa"/>
            </w:tcMar>
            <w:vAlign w:val="center"/>
          </w:tcPr>
          <w:p w14:paraId="473778F8" w14:textId="77777777" w:rsidR="004668C3" w:rsidRDefault="00000000">
            <w:r>
              <w:rPr>
                <w:b/>
                <w:color w:val="FFFFFF"/>
                <w:sz w:val="18"/>
              </w:rPr>
              <w:t>Most natural first expressions</w:t>
            </w:r>
          </w:p>
        </w:tc>
      </w:tr>
      <w:tr w:rsidR="004668C3" w14:paraId="3CF04432" w14:textId="77777777">
        <w:trPr>
          <w:cantSplit/>
          <w:jc w:val="center"/>
        </w:trPr>
        <w:tc>
          <w:tcPr>
            <w:tcW w:w="2520" w:type="dxa"/>
            <w:tcMar>
              <w:top w:w="90" w:type="dxa"/>
              <w:left w:w="110" w:type="dxa"/>
              <w:bottom w:w="90" w:type="dxa"/>
              <w:right w:w="110" w:type="dxa"/>
            </w:tcMar>
          </w:tcPr>
          <w:p w14:paraId="501DE40C" w14:textId="77777777" w:rsidR="004668C3" w:rsidRDefault="00000000">
            <w:pPr>
              <w:spacing w:after="0"/>
            </w:pPr>
            <w:r>
              <w:rPr>
                <w:sz w:val="18"/>
              </w:rPr>
              <w:t>Target / current-rate</w:t>
            </w:r>
          </w:p>
        </w:tc>
        <w:tc>
          <w:tcPr>
            <w:tcW w:w="4680" w:type="dxa"/>
            <w:tcMar>
              <w:top w:w="90" w:type="dxa"/>
              <w:left w:w="110" w:type="dxa"/>
              <w:bottom w:w="90" w:type="dxa"/>
              <w:right w:w="110" w:type="dxa"/>
            </w:tcMar>
          </w:tcPr>
          <w:p w14:paraId="25C27328" w14:textId="77777777" w:rsidR="004668C3" w:rsidRDefault="00000000">
            <w:pPr>
              <w:spacing w:after="0"/>
            </w:pPr>
            <w:r>
              <w:rPr>
                <w:sz w:val="18"/>
              </w:rPr>
              <w:t>Unexpected news about the immediate policy setting</w:t>
            </w:r>
          </w:p>
        </w:tc>
        <w:tc>
          <w:tcPr>
            <w:tcW w:w="3456" w:type="dxa"/>
            <w:tcMar>
              <w:top w:w="90" w:type="dxa"/>
              <w:left w:w="110" w:type="dxa"/>
              <w:bottom w:w="90" w:type="dxa"/>
              <w:right w:w="110" w:type="dxa"/>
            </w:tcMar>
          </w:tcPr>
          <w:p w14:paraId="2FC8945B" w14:textId="77777777" w:rsidR="004668C3" w:rsidRDefault="00000000">
            <w:pPr>
              <w:spacing w:after="0"/>
            </w:pPr>
            <w:r>
              <w:rPr>
                <w:sz w:val="18"/>
              </w:rPr>
              <w:t>2Y relative rates; FX diagnostic</w:t>
            </w:r>
          </w:p>
        </w:tc>
      </w:tr>
      <w:tr w:rsidR="004668C3" w14:paraId="4DFAD8B5" w14:textId="77777777">
        <w:trPr>
          <w:cantSplit/>
          <w:jc w:val="center"/>
        </w:trPr>
        <w:tc>
          <w:tcPr>
            <w:tcW w:w="2520" w:type="dxa"/>
            <w:shd w:val="clear" w:color="auto" w:fill="EEF4FA"/>
            <w:tcMar>
              <w:top w:w="90" w:type="dxa"/>
              <w:left w:w="110" w:type="dxa"/>
              <w:bottom w:w="90" w:type="dxa"/>
              <w:right w:w="110" w:type="dxa"/>
            </w:tcMar>
          </w:tcPr>
          <w:p w14:paraId="68750389" w14:textId="77777777" w:rsidR="004668C3" w:rsidRDefault="00000000">
            <w:pPr>
              <w:spacing w:after="0"/>
            </w:pPr>
            <w:r>
              <w:rPr>
                <w:sz w:val="18"/>
              </w:rPr>
              <w:t>Path / forward guidance</w:t>
            </w:r>
          </w:p>
        </w:tc>
        <w:tc>
          <w:tcPr>
            <w:tcW w:w="4680" w:type="dxa"/>
            <w:shd w:val="clear" w:color="auto" w:fill="EEF4FA"/>
            <w:tcMar>
              <w:top w:w="90" w:type="dxa"/>
              <w:left w:w="110" w:type="dxa"/>
              <w:bottom w:w="90" w:type="dxa"/>
              <w:right w:w="110" w:type="dxa"/>
            </w:tcMar>
          </w:tcPr>
          <w:p w14:paraId="6C1582A6" w14:textId="77777777" w:rsidR="004668C3" w:rsidRDefault="00000000">
            <w:pPr>
              <w:spacing w:after="0"/>
            </w:pPr>
            <w:r>
              <w:rPr>
                <w:sz w:val="18"/>
              </w:rPr>
              <w:t>Unexpected news about the future policy path</w:t>
            </w:r>
          </w:p>
        </w:tc>
        <w:tc>
          <w:tcPr>
            <w:tcW w:w="3456" w:type="dxa"/>
            <w:shd w:val="clear" w:color="auto" w:fill="EEF4FA"/>
            <w:tcMar>
              <w:top w:w="90" w:type="dxa"/>
              <w:left w:w="110" w:type="dxa"/>
              <w:bottom w:w="90" w:type="dxa"/>
              <w:right w:w="110" w:type="dxa"/>
            </w:tcMar>
          </w:tcPr>
          <w:p w14:paraId="1041F904" w14:textId="77777777" w:rsidR="004668C3" w:rsidRDefault="00000000">
            <w:pPr>
              <w:spacing w:after="0"/>
            </w:pPr>
            <w:r>
              <w:rPr>
                <w:sz w:val="18"/>
              </w:rPr>
              <w:t>2Y rates and FX forward; possibly intermediate curve exposure</w:t>
            </w:r>
          </w:p>
        </w:tc>
      </w:tr>
      <w:tr w:rsidR="004668C3" w14:paraId="11D3242E" w14:textId="77777777">
        <w:trPr>
          <w:cantSplit/>
          <w:jc w:val="center"/>
        </w:trPr>
        <w:tc>
          <w:tcPr>
            <w:tcW w:w="2520" w:type="dxa"/>
            <w:tcMar>
              <w:top w:w="90" w:type="dxa"/>
              <w:left w:w="110" w:type="dxa"/>
              <w:bottom w:w="90" w:type="dxa"/>
              <w:right w:w="110" w:type="dxa"/>
            </w:tcMar>
          </w:tcPr>
          <w:p w14:paraId="2B5871D2" w14:textId="77777777" w:rsidR="004668C3" w:rsidRDefault="00000000">
            <w:pPr>
              <w:spacing w:after="0"/>
            </w:pPr>
            <w:r>
              <w:rPr>
                <w:sz w:val="18"/>
              </w:rPr>
              <w:t>QE / longer horizon</w:t>
            </w:r>
          </w:p>
        </w:tc>
        <w:tc>
          <w:tcPr>
            <w:tcW w:w="4680" w:type="dxa"/>
            <w:tcMar>
              <w:top w:w="90" w:type="dxa"/>
              <w:left w:w="110" w:type="dxa"/>
              <w:bottom w:w="90" w:type="dxa"/>
              <w:right w:w="110" w:type="dxa"/>
            </w:tcMar>
          </w:tcPr>
          <w:p w14:paraId="7B134580" w14:textId="77777777" w:rsidR="004668C3" w:rsidRDefault="00000000">
            <w:pPr>
              <w:spacing w:after="0"/>
            </w:pPr>
            <w:r>
              <w:rPr>
                <w:sz w:val="18"/>
              </w:rPr>
              <w:t>Unexpected balance-sheet or long-end policy news</w:t>
            </w:r>
          </w:p>
        </w:tc>
        <w:tc>
          <w:tcPr>
            <w:tcW w:w="3456" w:type="dxa"/>
            <w:tcMar>
              <w:top w:w="90" w:type="dxa"/>
              <w:left w:w="110" w:type="dxa"/>
              <w:bottom w:w="90" w:type="dxa"/>
              <w:right w:w="110" w:type="dxa"/>
            </w:tcMar>
          </w:tcPr>
          <w:p w14:paraId="2D5E32E4" w14:textId="77777777" w:rsidR="004668C3" w:rsidRDefault="00000000">
            <w:pPr>
              <w:spacing w:after="0"/>
            </w:pPr>
            <w:r>
              <w:rPr>
                <w:sz w:val="18"/>
              </w:rPr>
              <w:t>10Y spread and relative curve; FX as secondary</w:t>
            </w:r>
          </w:p>
        </w:tc>
      </w:tr>
    </w:tbl>
    <w:p w14:paraId="6C1FB9E5" w14:textId="77777777" w:rsidR="004668C3" w:rsidRDefault="004668C3">
      <w:pPr>
        <w:spacing w:after="100"/>
      </w:pPr>
    </w:p>
    <w:p w14:paraId="182B8772" w14:textId="77777777" w:rsidR="004668C3" w:rsidRDefault="00000000">
      <w:pPr>
        <w:spacing w:after="100"/>
      </w:pPr>
      <w:r>
        <w:t>Normalise signs so that every positive value means relatively hawkish UK. Thus, a hawkish BoE surprise is positive; a hawkish ECB surprise is negative in UK-minus-EA terms. UK and ECB factors should not be pooled mechanically unless their definitions, scales, windows and standardisation have been mapped carefully.</w:t>
      </w:r>
    </w:p>
    <w:p w14:paraId="58F7E0A0" w14:textId="77777777" w:rsidR="004668C3" w:rsidRDefault="00000000">
      <w:pPr>
        <w:pStyle w:val="Heading2"/>
      </w:pPr>
      <w:r>
        <w:rPr>
          <w:rFonts w:ascii="Aptos" w:eastAsia="Aptos" w:hAnsi="Aptos"/>
          <w:b w:val="0"/>
        </w:rPr>
        <w:t>4.2 Two distinct event analyses</w:t>
      </w:r>
    </w:p>
    <w:tbl>
      <w:tblPr>
        <w:tblW w:w="0" w:type="auto"/>
        <w:jc w:val="center"/>
        <w:tblLook w:val="04A0" w:firstRow="1" w:lastRow="0" w:firstColumn="1" w:lastColumn="0" w:noHBand="0" w:noVBand="1"/>
      </w:tblPr>
      <w:tblGrid>
        <w:gridCol w:w="10166"/>
      </w:tblGrid>
      <w:tr w:rsidR="004668C3" w14:paraId="3627C186" w14:textId="77777777">
        <w:trPr>
          <w:cantSplit/>
          <w:jc w:val="center"/>
        </w:trPr>
        <w:tc>
          <w:tcPr>
            <w:tcW w:w="10166" w:type="dxa"/>
            <w:shd w:val="clear" w:color="auto" w:fill="FCE4D6"/>
            <w:tcMar>
              <w:top w:w="130" w:type="dxa"/>
              <w:left w:w="170" w:type="dxa"/>
              <w:bottom w:w="130" w:type="dxa"/>
              <w:right w:w="170" w:type="dxa"/>
            </w:tcMar>
          </w:tcPr>
          <w:p w14:paraId="38714D84" w14:textId="77777777" w:rsidR="004668C3" w:rsidRDefault="00000000">
            <w:pPr>
              <w:spacing w:after="60"/>
            </w:pPr>
            <w:r>
              <w:rPr>
                <w:b/>
                <w:color w:val="17365D"/>
                <w:sz w:val="21"/>
              </w:rPr>
              <w:t>Do not blur these together</w:t>
            </w:r>
          </w:p>
          <w:p w14:paraId="6DB7904D" w14:textId="77777777" w:rsidR="004668C3" w:rsidRDefault="00000000">
            <w:pPr>
              <w:spacing w:after="0"/>
            </w:pPr>
            <w:r>
              <w:t>The contemporaneous event study identifies market transmission but is not automatically tradable. The post-event strategy begins only after the surprise can be observed and a defensible execution price is available.</w:t>
            </w:r>
          </w:p>
        </w:tc>
      </w:tr>
    </w:tbl>
    <w:p w14:paraId="2E380C92" w14:textId="77777777" w:rsidR="004668C3" w:rsidRDefault="004668C3">
      <w:pPr>
        <w:spacing w:after="100"/>
      </w:pPr>
    </w:p>
    <w:p w14:paraId="3746FD2E" w14:textId="77777777" w:rsidR="004668C3" w:rsidRDefault="00000000">
      <w:pPr>
        <w:pStyle w:val="Heading3"/>
      </w:pPr>
      <w:r>
        <w:rPr>
          <w:rFonts w:ascii="Aptos" w:eastAsia="Aptos" w:hAnsi="Aptos"/>
          <w:b w:val="0"/>
        </w:rPr>
        <w:t>A. Contemporaneous event response</w:t>
      </w:r>
    </w:p>
    <w:p w14:paraId="396B93C5" w14:textId="77777777" w:rsidR="004668C3" w:rsidRDefault="00000000">
      <w:pPr>
        <w:spacing w:after="100"/>
      </w:pPr>
      <w:r>
        <w:t>Measure what happened during the announcement window, over the event day, and possibly by the next close. Typical outputs are shock betas, response profiles and cross-expression comparisons. This analysis can say that 2Y rates carried a Target shock more directly than FX, but it cannot claim that a trader entered before the surprise was known.</w:t>
      </w:r>
    </w:p>
    <w:p w14:paraId="6F10C009" w14:textId="77777777" w:rsidR="004668C3" w:rsidRDefault="00000000">
      <w:pPr>
        <w:pStyle w:val="Heading3"/>
      </w:pPr>
      <w:r>
        <w:rPr>
          <w:rFonts w:ascii="Aptos" w:eastAsia="Aptos" w:hAnsi="Aptos"/>
          <w:b w:val="0"/>
        </w:rPr>
        <w:t>B. Implementable post-event strategy</w:t>
      </w:r>
    </w:p>
    <w:p w14:paraId="70A40071" w14:textId="77777777" w:rsidR="004668C3" w:rsidRDefault="00000000">
      <w:pPr>
        <w:spacing w:after="100"/>
      </w:pPr>
      <w:r>
        <w:t>After the surprise has occurred, define the first permissible entry price and test whether the move continues or reverses. The strategy is triggered by the event rather than by a weekday calendar.</w:t>
      </w:r>
    </w:p>
    <w:p w14:paraId="5EB1F3E6" w14:textId="77777777" w:rsidR="004668C3" w:rsidRDefault="00000000">
      <w:pPr>
        <w:spacing w:after="100"/>
        <w:ind w:left="432" w:hanging="360"/>
      </w:pPr>
      <w:r>
        <w:t>1.  Observe and classify the BoE or ECB surprise after the designated announcement window closes.</w:t>
      </w:r>
    </w:p>
    <w:p w14:paraId="6BE69A57" w14:textId="77777777" w:rsidR="004668C3" w:rsidRDefault="00000000">
      <w:pPr>
        <w:spacing w:after="100"/>
        <w:ind w:left="432" w:hanging="360"/>
      </w:pPr>
      <w:r>
        <w:t>2.  Enter at the first defensible post-event price supported consistently by the data — for example the post-window quote, event-day close or next close.</w:t>
      </w:r>
    </w:p>
    <w:p w14:paraId="08BBE901" w14:textId="77777777" w:rsidR="004668C3" w:rsidRDefault="00000000">
      <w:pPr>
        <w:spacing w:after="100"/>
        <w:ind w:left="432" w:hanging="360"/>
      </w:pPr>
      <w:r>
        <w:lastRenderedPageBreak/>
        <w:t>3.  Scale the position by surprise sign, and optionally by capped surprise magnitude, using only ex-ante risk estimates.</w:t>
      </w:r>
    </w:p>
    <w:p w14:paraId="2BE68655" w14:textId="77777777" w:rsidR="004668C3" w:rsidRDefault="00000000">
      <w:pPr>
        <w:spacing w:after="100"/>
        <w:ind w:left="432" w:hanging="360"/>
      </w:pPr>
      <w:r>
        <w:t>4.  Hold for pre-specified horizons such as 1, 5 and 20 business days, or close according to a clearly defined event-overlap rule.</w:t>
      </w:r>
    </w:p>
    <w:p w14:paraId="45BC42D8" w14:textId="77777777" w:rsidR="004668C3" w:rsidRDefault="00000000">
      <w:pPr>
        <w:spacing w:after="100"/>
        <w:ind w:left="432" w:hanging="360"/>
      </w:pPr>
      <w:r>
        <w:t>5.  Test continuation and reversal separately; do not choose the winning direction after examining the full sample.</w:t>
      </w:r>
    </w:p>
    <w:tbl>
      <w:tblPr>
        <w:tblW w:w="0" w:type="auto"/>
        <w:jc w:val="center"/>
        <w:tblLook w:val="04A0" w:firstRow="1" w:lastRow="0" w:firstColumn="1" w:lastColumn="0" w:noHBand="0" w:noVBand="1"/>
      </w:tblPr>
      <w:tblGrid>
        <w:gridCol w:w="10166"/>
      </w:tblGrid>
      <w:tr w:rsidR="004668C3" w14:paraId="39BE7E20" w14:textId="77777777">
        <w:trPr>
          <w:cantSplit/>
          <w:jc w:val="center"/>
        </w:trPr>
        <w:tc>
          <w:tcPr>
            <w:tcW w:w="10166" w:type="dxa"/>
            <w:shd w:val="clear" w:color="auto" w:fill="E2F0D9"/>
            <w:tcMar>
              <w:top w:w="130" w:type="dxa"/>
              <w:left w:w="170" w:type="dxa"/>
              <w:bottom w:w="130" w:type="dxa"/>
              <w:right w:w="170" w:type="dxa"/>
            </w:tcMar>
          </w:tcPr>
          <w:p w14:paraId="625D3BBF" w14:textId="77777777" w:rsidR="004668C3" w:rsidRDefault="00000000">
            <w:pPr>
              <w:spacing w:after="60"/>
            </w:pPr>
            <w:r>
              <w:rPr>
                <w:b/>
                <w:color w:val="0F6B78"/>
                <w:sz w:val="21"/>
              </w:rPr>
              <w:t>Concrete event example</w:t>
            </w:r>
          </w:p>
          <w:p w14:paraId="2DCA0214" w14:textId="77777777" w:rsidR="004668C3" w:rsidRDefault="00000000">
            <w:pPr>
              <w:spacing w:after="0"/>
            </w:pPr>
            <w:r>
              <w:t>A BoE Path factor is +1.0 standard deviations: unexpectedly hawkish UK guidance. The contemporaneous study measures EUR/GBP, 2Y, 10Y and curve reactions during the announcement. The implementable test then enters long GBP / short EUR and short UK 2Y / long German 2Y only after the event window, and measures the next 1-, 5- and 20-day returns.</w:t>
            </w:r>
          </w:p>
        </w:tc>
      </w:tr>
    </w:tbl>
    <w:p w14:paraId="5BF968B1" w14:textId="77777777" w:rsidR="004668C3" w:rsidRDefault="004668C3">
      <w:pPr>
        <w:spacing w:after="100"/>
      </w:pPr>
    </w:p>
    <w:p w14:paraId="0A322AB1" w14:textId="77777777" w:rsidR="004668C3" w:rsidRDefault="00000000">
      <w:pPr>
        <w:pStyle w:val="Heading2"/>
      </w:pPr>
      <w:r>
        <w:rPr>
          <w:rFonts w:ascii="Aptos" w:eastAsia="Aptos" w:hAnsi="Aptos"/>
          <w:b w:val="0"/>
        </w:rPr>
        <w:t>4.3 Which assets Module B examines</w:t>
      </w:r>
    </w:p>
    <w:p w14:paraId="419C7A5A" w14:textId="77777777" w:rsidR="004668C3" w:rsidRDefault="00000000">
      <w:pPr>
        <w:spacing w:after="100"/>
      </w:pPr>
      <w:r>
        <w:t>Module B uses the same broad expression universe as Module A, but the emphasis changes by shock type. The assets were not designed mainly for Module B; they are common trade expressions tested under two different information structures.</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2880"/>
        <w:gridCol w:w="6120"/>
        <w:gridCol w:w="1656"/>
      </w:tblGrid>
      <w:tr w:rsidR="004668C3" w14:paraId="2D52713A" w14:textId="77777777">
        <w:trPr>
          <w:cantSplit/>
          <w:tblHeader/>
          <w:jc w:val="center"/>
        </w:trPr>
        <w:tc>
          <w:tcPr>
            <w:tcW w:w="2880" w:type="dxa"/>
            <w:shd w:val="clear" w:color="auto" w:fill="17365D"/>
            <w:tcMar>
              <w:top w:w="90" w:type="dxa"/>
              <w:left w:w="110" w:type="dxa"/>
              <w:bottom w:w="90" w:type="dxa"/>
              <w:right w:w="110" w:type="dxa"/>
            </w:tcMar>
            <w:vAlign w:val="center"/>
          </w:tcPr>
          <w:p w14:paraId="2B0EB56C" w14:textId="77777777" w:rsidR="004668C3" w:rsidRDefault="00000000">
            <w:r>
              <w:rPr>
                <w:b/>
                <w:color w:val="FFFFFF"/>
                <w:sz w:val="17"/>
              </w:rPr>
              <w:t>Expression</w:t>
            </w:r>
          </w:p>
        </w:tc>
        <w:tc>
          <w:tcPr>
            <w:tcW w:w="6120" w:type="dxa"/>
            <w:shd w:val="clear" w:color="auto" w:fill="17365D"/>
            <w:tcMar>
              <w:top w:w="90" w:type="dxa"/>
              <w:left w:w="110" w:type="dxa"/>
              <w:bottom w:w="90" w:type="dxa"/>
              <w:right w:w="110" w:type="dxa"/>
            </w:tcMar>
            <w:vAlign w:val="center"/>
          </w:tcPr>
          <w:p w14:paraId="6E52CB32" w14:textId="77777777" w:rsidR="004668C3" w:rsidRDefault="00000000">
            <w:r>
              <w:rPr>
                <w:b/>
                <w:color w:val="FFFFFF"/>
                <w:sz w:val="17"/>
              </w:rPr>
              <w:t>Module B role</w:t>
            </w:r>
          </w:p>
        </w:tc>
        <w:tc>
          <w:tcPr>
            <w:tcW w:w="1656" w:type="dxa"/>
            <w:shd w:val="clear" w:color="auto" w:fill="17365D"/>
            <w:tcMar>
              <w:top w:w="90" w:type="dxa"/>
              <w:left w:w="110" w:type="dxa"/>
              <w:bottom w:w="90" w:type="dxa"/>
              <w:right w:w="110" w:type="dxa"/>
            </w:tcMar>
            <w:vAlign w:val="center"/>
          </w:tcPr>
          <w:p w14:paraId="794A2AA2" w14:textId="77777777" w:rsidR="004668C3" w:rsidRDefault="00000000">
            <w:r>
              <w:rPr>
                <w:b/>
                <w:color w:val="FFFFFF"/>
                <w:sz w:val="17"/>
              </w:rPr>
              <w:t>Priority</w:t>
            </w:r>
          </w:p>
        </w:tc>
      </w:tr>
      <w:tr w:rsidR="004668C3" w14:paraId="161B9DFE" w14:textId="77777777">
        <w:trPr>
          <w:cantSplit/>
          <w:jc w:val="center"/>
        </w:trPr>
        <w:tc>
          <w:tcPr>
            <w:tcW w:w="2880" w:type="dxa"/>
            <w:tcMar>
              <w:top w:w="90" w:type="dxa"/>
              <w:left w:w="110" w:type="dxa"/>
              <w:bottom w:w="90" w:type="dxa"/>
              <w:right w:w="110" w:type="dxa"/>
            </w:tcMar>
          </w:tcPr>
          <w:p w14:paraId="4ECE98F5" w14:textId="77777777" w:rsidR="004668C3" w:rsidRDefault="00000000">
            <w:pPr>
              <w:spacing w:after="0"/>
            </w:pPr>
            <w:r>
              <w:rPr>
                <w:sz w:val="17"/>
              </w:rPr>
              <w:t>EUR/GBP spot</w:t>
            </w:r>
          </w:p>
        </w:tc>
        <w:tc>
          <w:tcPr>
            <w:tcW w:w="6120" w:type="dxa"/>
            <w:tcMar>
              <w:top w:w="90" w:type="dxa"/>
              <w:left w:w="110" w:type="dxa"/>
              <w:bottom w:w="90" w:type="dxa"/>
              <w:right w:w="110" w:type="dxa"/>
            </w:tcMar>
          </w:tcPr>
          <w:p w14:paraId="66CED581" w14:textId="77777777" w:rsidR="004668C3" w:rsidRDefault="00000000">
            <w:pPr>
              <w:spacing w:after="0"/>
            </w:pPr>
            <w:r>
              <w:rPr>
                <w:sz w:val="17"/>
              </w:rPr>
              <w:t>Clean diagnostic of immediate currency response</w:t>
            </w:r>
          </w:p>
        </w:tc>
        <w:tc>
          <w:tcPr>
            <w:tcW w:w="1656" w:type="dxa"/>
            <w:tcMar>
              <w:top w:w="90" w:type="dxa"/>
              <w:left w:w="110" w:type="dxa"/>
              <w:bottom w:w="90" w:type="dxa"/>
              <w:right w:w="110" w:type="dxa"/>
            </w:tcMar>
          </w:tcPr>
          <w:p w14:paraId="27E1A249" w14:textId="77777777" w:rsidR="004668C3" w:rsidRDefault="00000000">
            <w:pPr>
              <w:spacing w:after="0"/>
            </w:pPr>
            <w:r>
              <w:rPr>
                <w:sz w:val="17"/>
              </w:rPr>
              <w:t>Core diagnostic</w:t>
            </w:r>
          </w:p>
        </w:tc>
      </w:tr>
      <w:tr w:rsidR="004668C3" w14:paraId="721EFF71" w14:textId="77777777">
        <w:trPr>
          <w:cantSplit/>
          <w:jc w:val="center"/>
        </w:trPr>
        <w:tc>
          <w:tcPr>
            <w:tcW w:w="2880" w:type="dxa"/>
            <w:shd w:val="clear" w:color="auto" w:fill="EEF4FA"/>
            <w:tcMar>
              <w:top w:w="90" w:type="dxa"/>
              <w:left w:w="110" w:type="dxa"/>
              <w:bottom w:w="90" w:type="dxa"/>
              <w:right w:w="110" w:type="dxa"/>
            </w:tcMar>
          </w:tcPr>
          <w:p w14:paraId="3C88DA16" w14:textId="77777777" w:rsidR="004668C3" w:rsidRDefault="00000000">
            <w:pPr>
              <w:spacing w:after="0"/>
            </w:pPr>
            <w:r>
              <w:rPr>
                <w:sz w:val="17"/>
              </w:rPr>
              <w:t>One-month FX forward</w:t>
            </w:r>
          </w:p>
        </w:tc>
        <w:tc>
          <w:tcPr>
            <w:tcW w:w="6120" w:type="dxa"/>
            <w:shd w:val="clear" w:color="auto" w:fill="EEF4FA"/>
            <w:tcMar>
              <w:top w:w="90" w:type="dxa"/>
              <w:left w:w="110" w:type="dxa"/>
              <w:bottom w:w="90" w:type="dxa"/>
              <w:right w:w="110" w:type="dxa"/>
            </w:tcMar>
          </w:tcPr>
          <w:p w14:paraId="69235C66" w14:textId="77777777" w:rsidR="004668C3" w:rsidRDefault="00000000">
            <w:pPr>
              <w:spacing w:after="0"/>
            </w:pPr>
            <w:r>
              <w:rPr>
                <w:sz w:val="17"/>
              </w:rPr>
              <w:t>Funded FX expression for post-event holding; immediate response may be proxied carefully where forward quotes are unavailable</w:t>
            </w:r>
          </w:p>
        </w:tc>
        <w:tc>
          <w:tcPr>
            <w:tcW w:w="1656" w:type="dxa"/>
            <w:shd w:val="clear" w:color="auto" w:fill="EEF4FA"/>
            <w:tcMar>
              <w:top w:w="90" w:type="dxa"/>
              <w:left w:w="110" w:type="dxa"/>
              <w:bottom w:w="90" w:type="dxa"/>
              <w:right w:w="110" w:type="dxa"/>
            </w:tcMar>
          </w:tcPr>
          <w:p w14:paraId="0C9CB02A" w14:textId="77777777" w:rsidR="004668C3" w:rsidRDefault="00000000">
            <w:pPr>
              <w:spacing w:after="0"/>
            </w:pPr>
            <w:r>
              <w:rPr>
                <w:sz w:val="17"/>
              </w:rPr>
              <w:t>Core strategy / diagnostic</w:t>
            </w:r>
          </w:p>
        </w:tc>
      </w:tr>
      <w:tr w:rsidR="004668C3" w14:paraId="4784DF5C" w14:textId="77777777">
        <w:trPr>
          <w:cantSplit/>
          <w:jc w:val="center"/>
        </w:trPr>
        <w:tc>
          <w:tcPr>
            <w:tcW w:w="2880" w:type="dxa"/>
            <w:tcMar>
              <w:top w:w="90" w:type="dxa"/>
              <w:left w:w="110" w:type="dxa"/>
              <w:bottom w:w="90" w:type="dxa"/>
              <w:right w:w="110" w:type="dxa"/>
            </w:tcMar>
          </w:tcPr>
          <w:p w14:paraId="2A3A7721" w14:textId="77777777" w:rsidR="004668C3" w:rsidRDefault="00000000">
            <w:pPr>
              <w:spacing w:after="0"/>
            </w:pPr>
            <w:r>
              <w:rPr>
                <w:sz w:val="17"/>
              </w:rPr>
              <w:t>UK–Germany 2Y spread</w:t>
            </w:r>
          </w:p>
        </w:tc>
        <w:tc>
          <w:tcPr>
            <w:tcW w:w="6120" w:type="dxa"/>
            <w:tcMar>
              <w:top w:w="90" w:type="dxa"/>
              <w:left w:w="110" w:type="dxa"/>
              <w:bottom w:w="90" w:type="dxa"/>
              <w:right w:w="110" w:type="dxa"/>
            </w:tcMar>
          </w:tcPr>
          <w:p w14:paraId="1FF9082E" w14:textId="77777777" w:rsidR="004668C3" w:rsidRDefault="00000000">
            <w:pPr>
              <w:spacing w:after="0"/>
            </w:pPr>
            <w:r>
              <w:rPr>
                <w:sz w:val="17"/>
              </w:rPr>
              <w:t>Leading candidate for Target and Path shocks</w:t>
            </w:r>
          </w:p>
        </w:tc>
        <w:tc>
          <w:tcPr>
            <w:tcW w:w="1656" w:type="dxa"/>
            <w:tcMar>
              <w:top w:w="90" w:type="dxa"/>
              <w:left w:w="110" w:type="dxa"/>
              <w:bottom w:w="90" w:type="dxa"/>
              <w:right w:w="110" w:type="dxa"/>
            </w:tcMar>
          </w:tcPr>
          <w:p w14:paraId="2FBB825C" w14:textId="77777777" w:rsidR="004668C3" w:rsidRDefault="00000000">
            <w:pPr>
              <w:spacing w:after="0"/>
            </w:pPr>
            <w:r>
              <w:rPr>
                <w:sz w:val="17"/>
              </w:rPr>
              <w:t>Core headline</w:t>
            </w:r>
          </w:p>
        </w:tc>
      </w:tr>
      <w:tr w:rsidR="004668C3" w14:paraId="444A75BB" w14:textId="77777777">
        <w:trPr>
          <w:cantSplit/>
          <w:jc w:val="center"/>
        </w:trPr>
        <w:tc>
          <w:tcPr>
            <w:tcW w:w="2880" w:type="dxa"/>
            <w:shd w:val="clear" w:color="auto" w:fill="EEF4FA"/>
            <w:tcMar>
              <w:top w:w="90" w:type="dxa"/>
              <w:left w:w="110" w:type="dxa"/>
              <w:bottom w:w="90" w:type="dxa"/>
              <w:right w:w="110" w:type="dxa"/>
            </w:tcMar>
          </w:tcPr>
          <w:p w14:paraId="4F79A164" w14:textId="77777777" w:rsidR="004668C3" w:rsidRDefault="00000000">
            <w:pPr>
              <w:spacing w:after="0"/>
            </w:pPr>
            <w:r>
              <w:rPr>
                <w:sz w:val="17"/>
              </w:rPr>
              <w:t>UK–Germany 10Y spread</w:t>
            </w:r>
          </w:p>
        </w:tc>
        <w:tc>
          <w:tcPr>
            <w:tcW w:w="6120" w:type="dxa"/>
            <w:shd w:val="clear" w:color="auto" w:fill="EEF4FA"/>
            <w:tcMar>
              <w:top w:w="90" w:type="dxa"/>
              <w:left w:w="110" w:type="dxa"/>
              <w:bottom w:w="90" w:type="dxa"/>
              <w:right w:w="110" w:type="dxa"/>
            </w:tcMar>
          </w:tcPr>
          <w:p w14:paraId="0831526C" w14:textId="77777777" w:rsidR="004668C3" w:rsidRDefault="00000000">
            <w:pPr>
              <w:spacing w:after="0"/>
            </w:pPr>
            <w:r>
              <w:rPr>
                <w:sz w:val="17"/>
              </w:rPr>
              <w:t>Candidate for QE and long-horizon surprises; contamination must be discussed</w:t>
            </w:r>
          </w:p>
        </w:tc>
        <w:tc>
          <w:tcPr>
            <w:tcW w:w="1656" w:type="dxa"/>
            <w:shd w:val="clear" w:color="auto" w:fill="EEF4FA"/>
            <w:tcMar>
              <w:top w:w="90" w:type="dxa"/>
              <w:left w:w="110" w:type="dxa"/>
              <w:bottom w:w="90" w:type="dxa"/>
              <w:right w:w="110" w:type="dxa"/>
            </w:tcMar>
          </w:tcPr>
          <w:p w14:paraId="6733AB96" w14:textId="77777777" w:rsidR="004668C3" w:rsidRDefault="00000000">
            <w:pPr>
              <w:spacing w:after="0"/>
            </w:pPr>
            <w:r>
              <w:rPr>
                <w:sz w:val="17"/>
              </w:rPr>
              <w:t>Secondary headline</w:t>
            </w:r>
          </w:p>
        </w:tc>
      </w:tr>
      <w:tr w:rsidR="004668C3" w14:paraId="36C175C6" w14:textId="77777777">
        <w:trPr>
          <w:cantSplit/>
          <w:jc w:val="center"/>
        </w:trPr>
        <w:tc>
          <w:tcPr>
            <w:tcW w:w="2880" w:type="dxa"/>
            <w:tcMar>
              <w:top w:w="90" w:type="dxa"/>
              <w:left w:w="110" w:type="dxa"/>
              <w:bottom w:w="90" w:type="dxa"/>
              <w:right w:w="110" w:type="dxa"/>
            </w:tcMar>
          </w:tcPr>
          <w:p w14:paraId="77935169" w14:textId="77777777" w:rsidR="004668C3" w:rsidRDefault="00000000">
            <w:pPr>
              <w:spacing w:after="0"/>
            </w:pPr>
            <w:r>
              <w:rPr>
                <w:sz w:val="17"/>
              </w:rPr>
              <w:t>Relative curve</w:t>
            </w:r>
          </w:p>
        </w:tc>
        <w:tc>
          <w:tcPr>
            <w:tcW w:w="6120" w:type="dxa"/>
            <w:tcMar>
              <w:top w:w="90" w:type="dxa"/>
              <w:left w:w="110" w:type="dxa"/>
              <w:bottom w:w="90" w:type="dxa"/>
              <w:right w:w="110" w:type="dxa"/>
            </w:tcMar>
          </w:tcPr>
          <w:p w14:paraId="69A7181C" w14:textId="77777777" w:rsidR="004668C3" w:rsidRDefault="00000000">
            <w:pPr>
              <w:spacing w:after="0"/>
            </w:pPr>
            <w:r>
              <w:rPr>
                <w:sz w:val="17"/>
              </w:rPr>
              <w:t>Shows whether short and long maturities respond differently to shock type</w:t>
            </w:r>
          </w:p>
        </w:tc>
        <w:tc>
          <w:tcPr>
            <w:tcW w:w="1656" w:type="dxa"/>
            <w:tcMar>
              <w:top w:w="90" w:type="dxa"/>
              <w:left w:w="110" w:type="dxa"/>
              <w:bottom w:w="90" w:type="dxa"/>
              <w:right w:w="110" w:type="dxa"/>
            </w:tcMar>
          </w:tcPr>
          <w:p w14:paraId="4A54EAD3" w14:textId="77777777" w:rsidR="004668C3" w:rsidRDefault="00000000">
            <w:pPr>
              <w:spacing w:after="0"/>
            </w:pPr>
            <w:r>
              <w:rPr>
                <w:sz w:val="17"/>
              </w:rPr>
              <w:t>Conditional but informative</w:t>
            </w:r>
          </w:p>
        </w:tc>
      </w:tr>
      <w:tr w:rsidR="004668C3" w14:paraId="69BD0151" w14:textId="77777777">
        <w:trPr>
          <w:cantSplit/>
          <w:jc w:val="center"/>
        </w:trPr>
        <w:tc>
          <w:tcPr>
            <w:tcW w:w="2880" w:type="dxa"/>
            <w:shd w:val="clear" w:color="auto" w:fill="EEF4FA"/>
            <w:tcMar>
              <w:top w:w="90" w:type="dxa"/>
              <w:left w:w="110" w:type="dxa"/>
              <w:bottom w:w="90" w:type="dxa"/>
              <w:right w:w="110" w:type="dxa"/>
            </w:tcMar>
          </w:tcPr>
          <w:p w14:paraId="36CFED98" w14:textId="77777777" w:rsidR="004668C3" w:rsidRDefault="00000000">
            <w:pPr>
              <w:spacing w:after="0"/>
            </w:pPr>
            <w:r>
              <w:rPr>
                <w:sz w:val="17"/>
              </w:rPr>
              <w:t>Equal-risk basket</w:t>
            </w:r>
          </w:p>
        </w:tc>
        <w:tc>
          <w:tcPr>
            <w:tcW w:w="6120" w:type="dxa"/>
            <w:shd w:val="clear" w:color="auto" w:fill="EEF4FA"/>
            <w:tcMar>
              <w:top w:w="90" w:type="dxa"/>
              <w:left w:w="110" w:type="dxa"/>
              <w:bottom w:w="90" w:type="dxa"/>
              <w:right w:w="110" w:type="dxa"/>
            </w:tcMar>
          </w:tcPr>
          <w:p w14:paraId="61DAB0B1" w14:textId="77777777" w:rsidR="004668C3" w:rsidRDefault="00000000">
            <w:pPr>
              <w:spacing w:after="0"/>
            </w:pPr>
            <w:r>
              <w:rPr>
                <w:sz w:val="17"/>
              </w:rPr>
              <w:t>Secondary summary only; avoid hiding factor-specific transmission too early</w:t>
            </w:r>
          </w:p>
        </w:tc>
        <w:tc>
          <w:tcPr>
            <w:tcW w:w="1656" w:type="dxa"/>
            <w:shd w:val="clear" w:color="auto" w:fill="EEF4FA"/>
            <w:tcMar>
              <w:top w:w="90" w:type="dxa"/>
              <w:left w:w="110" w:type="dxa"/>
              <w:bottom w:w="90" w:type="dxa"/>
              <w:right w:w="110" w:type="dxa"/>
            </w:tcMar>
          </w:tcPr>
          <w:p w14:paraId="1DB9534A" w14:textId="77777777" w:rsidR="004668C3" w:rsidRDefault="00000000">
            <w:pPr>
              <w:spacing w:after="0"/>
            </w:pPr>
            <w:r>
              <w:rPr>
                <w:sz w:val="17"/>
              </w:rPr>
              <w:t>Build after standalone event results</w:t>
            </w:r>
          </w:p>
        </w:tc>
      </w:tr>
    </w:tbl>
    <w:p w14:paraId="12E86C8D" w14:textId="77777777" w:rsidR="004668C3" w:rsidRDefault="004668C3">
      <w:pPr>
        <w:spacing w:after="100"/>
      </w:pPr>
    </w:p>
    <w:p w14:paraId="799914D1" w14:textId="77777777" w:rsidR="004668C3" w:rsidRDefault="00000000">
      <w:pPr>
        <w:pStyle w:val="Heading3"/>
      </w:pPr>
      <w:r>
        <w:t>4.3.1 Rates instrument convention in Module B</w:t>
      </w:r>
    </w:p>
    <w:p w14:paraId="00C08D97" w14:textId="77777777" w:rsidR="004668C3" w:rsidRDefault="00000000">
      <w:pPr>
        <w:spacing w:after="100"/>
      </w:pPr>
      <w:r>
        <w:t>Module B should inherit the same approved rates instrument layer as Module A. If futures pass the data gate, implementable post-event 2Y and 10Y trades use the same active-contract mapping, current DV01 balancing, CTD-aware risk estimates and roll rules described in Section 3.5. Contemporaneous event-study diagnostics may still report raw yield or futures-price responses, but these should not be confused with an implementable traded return.</w:t>
      </w:r>
    </w:p>
    <w:p w14:paraId="7604907A" w14:textId="77777777" w:rsidR="004668C3" w:rsidRDefault="00000000">
      <w:pPr>
        <w:spacing w:after="100"/>
      </w:pPr>
      <w:r>
        <w:t>A contract roll that occurs during a post-event holding period is instrument maintenance, not a new event signal. Preserve the outstanding economic target through the roll, apply the relevant roll cost, and avoid attributing a mechanical contract switch to the policy surprise.</w:t>
      </w:r>
    </w:p>
    <w:p w14:paraId="2827821F" w14:textId="77777777" w:rsidR="004668C3" w:rsidRDefault="00000000">
      <w:pPr>
        <w:pStyle w:val="Heading2"/>
      </w:pPr>
      <w:r>
        <w:rPr>
          <w:rFonts w:ascii="Aptos" w:eastAsia="Aptos" w:hAnsi="Aptos"/>
          <w:b w:val="0"/>
        </w:rPr>
        <w:t>4.4 Event-trade dynamics that require explicit rules</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2376"/>
        <w:gridCol w:w="8280"/>
      </w:tblGrid>
      <w:tr w:rsidR="004668C3" w14:paraId="08C7ECC2" w14:textId="77777777">
        <w:trPr>
          <w:cantSplit/>
          <w:tblHeader/>
          <w:jc w:val="center"/>
        </w:trPr>
        <w:tc>
          <w:tcPr>
            <w:tcW w:w="2376" w:type="dxa"/>
            <w:shd w:val="clear" w:color="auto" w:fill="17365D"/>
            <w:tcMar>
              <w:top w:w="90" w:type="dxa"/>
              <w:left w:w="110" w:type="dxa"/>
              <w:bottom w:w="90" w:type="dxa"/>
              <w:right w:w="110" w:type="dxa"/>
            </w:tcMar>
            <w:vAlign w:val="center"/>
          </w:tcPr>
          <w:p w14:paraId="0EB7B090" w14:textId="77777777" w:rsidR="004668C3" w:rsidRDefault="00000000">
            <w:r>
              <w:rPr>
                <w:b/>
                <w:color w:val="FFFFFF"/>
                <w:sz w:val="17"/>
              </w:rPr>
              <w:t>Issue</w:t>
            </w:r>
          </w:p>
        </w:tc>
        <w:tc>
          <w:tcPr>
            <w:tcW w:w="8280" w:type="dxa"/>
            <w:shd w:val="clear" w:color="auto" w:fill="17365D"/>
            <w:tcMar>
              <w:top w:w="90" w:type="dxa"/>
              <w:left w:w="110" w:type="dxa"/>
              <w:bottom w:w="90" w:type="dxa"/>
              <w:right w:w="110" w:type="dxa"/>
            </w:tcMar>
            <w:vAlign w:val="center"/>
          </w:tcPr>
          <w:p w14:paraId="37FD3ADC" w14:textId="77777777" w:rsidR="004668C3" w:rsidRDefault="00000000">
            <w:r>
              <w:rPr>
                <w:b/>
                <w:color w:val="FFFFFF"/>
                <w:sz w:val="17"/>
              </w:rPr>
              <w:t>Required decision</w:t>
            </w:r>
          </w:p>
        </w:tc>
      </w:tr>
      <w:tr w:rsidR="004668C3" w14:paraId="15839ED2" w14:textId="77777777">
        <w:trPr>
          <w:cantSplit/>
          <w:jc w:val="center"/>
        </w:trPr>
        <w:tc>
          <w:tcPr>
            <w:tcW w:w="2376" w:type="dxa"/>
            <w:tcMar>
              <w:top w:w="90" w:type="dxa"/>
              <w:left w:w="110" w:type="dxa"/>
              <w:bottom w:w="90" w:type="dxa"/>
              <w:right w:w="110" w:type="dxa"/>
            </w:tcMar>
          </w:tcPr>
          <w:p w14:paraId="78D271FD" w14:textId="77777777" w:rsidR="004668C3" w:rsidRDefault="00000000">
            <w:pPr>
              <w:spacing w:after="0"/>
            </w:pPr>
            <w:r>
              <w:rPr>
                <w:sz w:val="17"/>
              </w:rPr>
              <w:t>Entry timing</w:t>
            </w:r>
          </w:p>
        </w:tc>
        <w:tc>
          <w:tcPr>
            <w:tcW w:w="8280" w:type="dxa"/>
            <w:tcMar>
              <w:top w:w="90" w:type="dxa"/>
              <w:left w:w="110" w:type="dxa"/>
              <w:bottom w:w="90" w:type="dxa"/>
              <w:right w:w="110" w:type="dxa"/>
            </w:tcMar>
          </w:tcPr>
          <w:p w14:paraId="3C6BFADC" w14:textId="77777777" w:rsidR="004668C3" w:rsidRDefault="00000000">
            <w:pPr>
              <w:spacing w:after="0"/>
            </w:pPr>
            <w:r>
              <w:rPr>
                <w:sz w:val="17"/>
              </w:rPr>
              <w:t>Exact event window and first executable price; no use of pre-surprise prices for a surprise-driven trade</w:t>
            </w:r>
          </w:p>
        </w:tc>
      </w:tr>
      <w:tr w:rsidR="004668C3" w14:paraId="5DBC1919" w14:textId="77777777">
        <w:trPr>
          <w:cantSplit/>
          <w:jc w:val="center"/>
        </w:trPr>
        <w:tc>
          <w:tcPr>
            <w:tcW w:w="2376" w:type="dxa"/>
            <w:shd w:val="clear" w:color="auto" w:fill="EEF4FA"/>
            <w:tcMar>
              <w:top w:w="90" w:type="dxa"/>
              <w:left w:w="110" w:type="dxa"/>
              <w:bottom w:w="90" w:type="dxa"/>
              <w:right w:w="110" w:type="dxa"/>
            </w:tcMar>
          </w:tcPr>
          <w:p w14:paraId="75708A0B" w14:textId="77777777" w:rsidR="004668C3" w:rsidRDefault="00000000">
            <w:pPr>
              <w:spacing w:after="0"/>
            </w:pPr>
            <w:r>
              <w:rPr>
                <w:sz w:val="17"/>
              </w:rPr>
              <w:t>Holding horizon</w:t>
            </w:r>
          </w:p>
        </w:tc>
        <w:tc>
          <w:tcPr>
            <w:tcW w:w="8280" w:type="dxa"/>
            <w:shd w:val="clear" w:color="auto" w:fill="EEF4FA"/>
            <w:tcMar>
              <w:top w:w="90" w:type="dxa"/>
              <w:left w:w="110" w:type="dxa"/>
              <w:bottom w:w="90" w:type="dxa"/>
              <w:right w:w="110" w:type="dxa"/>
            </w:tcMar>
          </w:tcPr>
          <w:p w14:paraId="796CCB31" w14:textId="77777777" w:rsidR="004668C3" w:rsidRDefault="00000000">
            <w:pPr>
              <w:spacing w:after="0"/>
            </w:pPr>
            <w:r>
              <w:rPr>
                <w:sz w:val="17"/>
              </w:rPr>
              <w:t>Pre-specify 1, 5 and 20 business days or another small set; do not optimise dozens of exits</w:t>
            </w:r>
          </w:p>
        </w:tc>
      </w:tr>
      <w:tr w:rsidR="004668C3" w14:paraId="6944A630" w14:textId="77777777">
        <w:trPr>
          <w:cantSplit/>
          <w:jc w:val="center"/>
        </w:trPr>
        <w:tc>
          <w:tcPr>
            <w:tcW w:w="2376" w:type="dxa"/>
            <w:tcMar>
              <w:top w:w="90" w:type="dxa"/>
              <w:left w:w="110" w:type="dxa"/>
              <w:bottom w:w="90" w:type="dxa"/>
              <w:right w:w="110" w:type="dxa"/>
            </w:tcMar>
          </w:tcPr>
          <w:p w14:paraId="141BCF7E" w14:textId="77777777" w:rsidR="004668C3" w:rsidRDefault="00000000">
            <w:pPr>
              <w:spacing w:after="0"/>
            </w:pPr>
            <w:r>
              <w:rPr>
                <w:sz w:val="17"/>
              </w:rPr>
              <w:lastRenderedPageBreak/>
              <w:t>Overlapping events</w:t>
            </w:r>
          </w:p>
        </w:tc>
        <w:tc>
          <w:tcPr>
            <w:tcW w:w="8280" w:type="dxa"/>
            <w:tcMar>
              <w:top w:w="90" w:type="dxa"/>
              <w:left w:w="110" w:type="dxa"/>
              <w:bottom w:w="90" w:type="dxa"/>
              <w:right w:w="110" w:type="dxa"/>
            </w:tcMar>
          </w:tcPr>
          <w:p w14:paraId="09F3CE79" w14:textId="77777777" w:rsidR="004668C3" w:rsidRDefault="00000000">
            <w:pPr>
              <w:spacing w:after="0"/>
            </w:pPr>
            <w:r>
              <w:rPr>
                <w:sz w:val="17"/>
              </w:rPr>
              <w:t>Define whether a new BoE/ECB event closes, nets or replaces an existing position</w:t>
            </w:r>
          </w:p>
        </w:tc>
      </w:tr>
      <w:tr w:rsidR="004668C3" w14:paraId="24125E94" w14:textId="77777777">
        <w:trPr>
          <w:cantSplit/>
          <w:jc w:val="center"/>
        </w:trPr>
        <w:tc>
          <w:tcPr>
            <w:tcW w:w="2376" w:type="dxa"/>
            <w:shd w:val="clear" w:color="auto" w:fill="EEF4FA"/>
            <w:tcMar>
              <w:top w:w="90" w:type="dxa"/>
              <w:left w:w="110" w:type="dxa"/>
              <w:bottom w:w="90" w:type="dxa"/>
              <w:right w:w="110" w:type="dxa"/>
            </w:tcMar>
          </w:tcPr>
          <w:p w14:paraId="09A85C0D" w14:textId="77777777" w:rsidR="004668C3" w:rsidRDefault="00000000">
            <w:pPr>
              <w:spacing w:after="0"/>
            </w:pPr>
            <w:r>
              <w:rPr>
                <w:sz w:val="17"/>
              </w:rPr>
              <w:t>BoE versus ECB signs</w:t>
            </w:r>
          </w:p>
        </w:tc>
        <w:tc>
          <w:tcPr>
            <w:tcW w:w="8280" w:type="dxa"/>
            <w:shd w:val="clear" w:color="auto" w:fill="EEF4FA"/>
            <w:tcMar>
              <w:top w:w="90" w:type="dxa"/>
              <w:left w:w="110" w:type="dxa"/>
              <w:bottom w:w="90" w:type="dxa"/>
              <w:right w:w="110" w:type="dxa"/>
            </w:tcMar>
          </w:tcPr>
          <w:p w14:paraId="1AE025AF" w14:textId="77777777" w:rsidR="004668C3" w:rsidRDefault="00000000">
            <w:pPr>
              <w:spacing w:after="0"/>
            </w:pPr>
            <w:r>
              <w:rPr>
                <w:sz w:val="17"/>
              </w:rPr>
              <w:t>Map both to the common positive = hawkish UK convention</w:t>
            </w:r>
          </w:p>
        </w:tc>
      </w:tr>
      <w:tr w:rsidR="004668C3" w14:paraId="1BD06B47" w14:textId="77777777">
        <w:trPr>
          <w:cantSplit/>
          <w:jc w:val="center"/>
        </w:trPr>
        <w:tc>
          <w:tcPr>
            <w:tcW w:w="2376" w:type="dxa"/>
            <w:tcMar>
              <w:top w:w="90" w:type="dxa"/>
              <w:left w:w="110" w:type="dxa"/>
              <w:bottom w:w="90" w:type="dxa"/>
              <w:right w:w="110" w:type="dxa"/>
            </w:tcMar>
          </w:tcPr>
          <w:p w14:paraId="6FC3097D" w14:textId="77777777" w:rsidR="004668C3" w:rsidRDefault="00000000">
            <w:pPr>
              <w:spacing w:after="0"/>
            </w:pPr>
            <w:r>
              <w:rPr>
                <w:sz w:val="17"/>
              </w:rPr>
              <w:t>Magnitude scaling</w:t>
            </w:r>
          </w:p>
        </w:tc>
        <w:tc>
          <w:tcPr>
            <w:tcW w:w="8280" w:type="dxa"/>
            <w:tcMar>
              <w:top w:w="90" w:type="dxa"/>
              <w:left w:w="110" w:type="dxa"/>
              <w:bottom w:w="90" w:type="dxa"/>
              <w:right w:w="110" w:type="dxa"/>
            </w:tcMar>
          </w:tcPr>
          <w:p w14:paraId="284FE351" w14:textId="77777777" w:rsidR="004668C3" w:rsidRDefault="00000000">
            <w:pPr>
              <w:spacing w:after="0"/>
            </w:pPr>
            <w:r>
              <w:rPr>
                <w:sz w:val="17"/>
              </w:rPr>
              <w:t>Compare sign-only with capped magnitude-scaled shocks; avoid extreme positions from outliers</w:t>
            </w:r>
          </w:p>
        </w:tc>
      </w:tr>
      <w:tr w:rsidR="004668C3" w14:paraId="345B0899" w14:textId="77777777">
        <w:trPr>
          <w:cantSplit/>
          <w:jc w:val="center"/>
        </w:trPr>
        <w:tc>
          <w:tcPr>
            <w:tcW w:w="2376" w:type="dxa"/>
            <w:shd w:val="clear" w:color="auto" w:fill="EEF4FA"/>
            <w:tcMar>
              <w:top w:w="90" w:type="dxa"/>
              <w:left w:w="110" w:type="dxa"/>
              <w:bottom w:w="90" w:type="dxa"/>
              <w:right w:w="110" w:type="dxa"/>
            </w:tcMar>
          </w:tcPr>
          <w:p w14:paraId="25B035E5" w14:textId="77777777" w:rsidR="004668C3" w:rsidRDefault="00000000">
            <w:pPr>
              <w:spacing w:after="0"/>
            </w:pPr>
            <w:r>
              <w:rPr>
                <w:sz w:val="17"/>
              </w:rPr>
              <w:t>Different factors</w:t>
            </w:r>
          </w:p>
        </w:tc>
        <w:tc>
          <w:tcPr>
            <w:tcW w:w="8280" w:type="dxa"/>
            <w:shd w:val="clear" w:color="auto" w:fill="EEF4FA"/>
            <w:tcMar>
              <w:top w:w="90" w:type="dxa"/>
              <w:left w:w="110" w:type="dxa"/>
              <w:bottom w:w="90" w:type="dxa"/>
              <w:right w:w="110" w:type="dxa"/>
            </w:tcMar>
          </w:tcPr>
          <w:p w14:paraId="74106762" w14:textId="77777777" w:rsidR="004668C3" w:rsidRDefault="00000000">
            <w:pPr>
              <w:spacing w:after="0"/>
            </w:pPr>
            <w:r>
              <w:rPr>
                <w:sz w:val="17"/>
              </w:rPr>
              <w:t>Target, Path and QE remain separate unless a documented combination is justified</w:t>
            </w:r>
          </w:p>
        </w:tc>
      </w:tr>
      <w:tr w:rsidR="004668C3" w14:paraId="273F905A" w14:textId="77777777">
        <w:trPr>
          <w:cantSplit/>
          <w:jc w:val="center"/>
        </w:trPr>
        <w:tc>
          <w:tcPr>
            <w:tcW w:w="2376" w:type="dxa"/>
            <w:tcMar>
              <w:top w:w="90" w:type="dxa"/>
              <w:left w:w="110" w:type="dxa"/>
              <w:bottom w:w="90" w:type="dxa"/>
              <w:right w:w="110" w:type="dxa"/>
            </w:tcMar>
          </w:tcPr>
          <w:p w14:paraId="2365A1F0" w14:textId="77777777" w:rsidR="004668C3" w:rsidRDefault="00000000">
            <w:pPr>
              <w:spacing w:after="0"/>
            </w:pPr>
            <w:r>
              <w:rPr>
                <w:sz w:val="17"/>
              </w:rPr>
              <w:t>Information effects</w:t>
            </w:r>
          </w:p>
        </w:tc>
        <w:tc>
          <w:tcPr>
            <w:tcW w:w="8280" w:type="dxa"/>
            <w:tcMar>
              <w:top w:w="90" w:type="dxa"/>
              <w:left w:w="110" w:type="dxa"/>
              <w:bottom w:w="90" w:type="dxa"/>
              <w:right w:w="110" w:type="dxa"/>
            </w:tcMar>
          </w:tcPr>
          <w:p w14:paraId="0D022B30" w14:textId="77777777" w:rsidR="004668C3" w:rsidRDefault="00000000">
            <w:pPr>
              <w:spacing w:after="0"/>
            </w:pPr>
            <w:r>
              <w:rPr>
                <w:sz w:val="17"/>
              </w:rPr>
              <w:t>Allow for counterintuitive FX or equity responses when policy news also reveals growth or inflation information</w:t>
            </w:r>
          </w:p>
        </w:tc>
      </w:tr>
      <w:tr w:rsidR="004668C3" w14:paraId="0ED3A0D5" w14:textId="77777777">
        <w:trPr>
          <w:cantSplit/>
          <w:jc w:val="center"/>
        </w:trPr>
        <w:tc>
          <w:tcPr>
            <w:tcW w:w="2376" w:type="dxa"/>
            <w:shd w:val="clear" w:color="auto" w:fill="EEF4FA"/>
            <w:tcMar>
              <w:top w:w="90" w:type="dxa"/>
              <w:left w:w="110" w:type="dxa"/>
              <w:bottom w:w="90" w:type="dxa"/>
              <w:right w:w="110" w:type="dxa"/>
            </w:tcMar>
          </w:tcPr>
          <w:p w14:paraId="4C91A436" w14:textId="77777777" w:rsidR="004668C3" w:rsidRDefault="00000000">
            <w:pPr>
              <w:spacing w:after="0"/>
            </w:pPr>
            <w:r>
              <w:rPr>
                <w:sz w:val="17"/>
              </w:rPr>
              <w:t>Event scarcity</w:t>
            </w:r>
          </w:p>
        </w:tc>
        <w:tc>
          <w:tcPr>
            <w:tcW w:w="8280" w:type="dxa"/>
            <w:shd w:val="clear" w:color="auto" w:fill="EEF4FA"/>
            <w:tcMar>
              <w:top w:w="90" w:type="dxa"/>
              <w:left w:w="110" w:type="dxa"/>
              <w:bottom w:w="90" w:type="dxa"/>
              <w:right w:w="110" w:type="dxa"/>
            </w:tcMar>
          </w:tcPr>
          <w:p w14:paraId="0A558B74" w14:textId="77777777" w:rsidR="004668C3" w:rsidRDefault="00000000">
            <w:pPr>
              <w:spacing w:after="0"/>
            </w:pPr>
            <w:r>
              <w:rPr>
                <w:sz w:val="17"/>
              </w:rPr>
              <w:t>Report event counts, influential observations and concentration; event results can be dominated by a few episodes</w:t>
            </w:r>
          </w:p>
        </w:tc>
      </w:tr>
    </w:tbl>
    <w:p w14:paraId="67CDCDFD" w14:textId="77777777" w:rsidR="004668C3" w:rsidRDefault="004668C3">
      <w:pPr>
        <w:spacing w:after="100"/>
      </w:pPr>
    </w:p>
    <w:p w14:paraId="5D644F1B" w14:textId="77777777" w:rsidR="004668C3" w:rsidRDefault="00000000">
      <w:pPr>
        <w:pStyle w:val="Heading2"/>
      </w:pPr>
      <w:r>
        <w:t>4.5 Interaction between Modules A and B around policy meetings</w:t>
      </w:r>
    </w:p>
    <w:p w14:paraId="6C3BA3BC" w14:textId="77777777" w:rsidR="004668C3" w:rsidRDefault="00000000">
      <w:pPr>
        <w:spacing w:after="100"/>
      </w:pPr>
      <w:r>
        <w:t>BoE and ECB meetings are the natural point at which the modules overlap. The overlap should be handled through a clear chronology rather than by treating the modules as competing forecasts. Module A is the continuously held baseline strategy; Module B begins with the observed surprise and is reactive by design.</w:t>
      </w:r>
    </w:p>
    <w:p w14:paraId="470556D6" w14:textId="77777777" w:rsidR="004668C3" w:rsidRDefault="00000000">
      <w:pPr>
        <w:pStyle w:val="Heading3"/>
      </w:pPr>
      <w:r>
        <w:t>A. Selected core rule: maintain the Module A position</w:t>
      </w:r>
    </w:p>
    <w:p w14:paraId="32E12D07" w14:textId="77777777" w:rsidR="004668C3" w:rsidRDefault="00000000">
      <w:pPr>
        <w:spacing w:after="100"/>
      </w:pPr>
      <w:r>
        <w:t>The core project uses the continuous-exposure approach. Module A keeps the position implied by its latest weekly signal through scheduled policy meetings. It does not automatically flatten before the event and it does not add a separate position merely because a meeting is approaching.</w:t>
      </w:r>
    </w:p>
    <w:p w14:paraId="038944DB" w14:textId="77777777" w:rsidR="004668C3" w:rsidRDefault="00000000">
      <w:pPr>
        <w:spacing w:after="100"/>
      </w:pPr>
      <w:r>
        <w:t>This exposure must not be described as a forecast of the announcement surprise. If Module A is long GBP before a hawkish BoE surprise, the event-day gain comes from a pre-existing macro position, not from having observed or predicted the UKMPD factor in advance.</w:t>
      </w:r>
    </w:p>
    <w:p w14:paraId="44233AD5" w14:textId="77777777" w:rsidR="004668C3" w:rsidRDefault="00000000">
      <w:pPr>
        <w:spacing w:after="100"/>
      </w:pPr>
      <w:r>
        <w:t>Once the announcement changes SONIA, €STR or other OIS pricing, that repricing naturally becomes part of the next Module A signal. Module A therefore absorbs policy events through observable changes in the market-implied path while preserving its weekly decision frequency.</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2376"/>
        <w:gridCol w:w="8280"/>
      </w:tblGrid>
      <w:tr w:rsidR="004668C3" w14:paraId="6CFEE5A4" w14:textId="77777777">
        <w:trPr>
          <w:cantSplit/>
          <w:tblHeader/>
          <w:jc w:val="center"/>
        </w:trPr>
        <w:tc>
          <w:tcPr>
            <w:tcW w:w="2376" w:type="dxa"/>
            <w:shd w:val="clear" w:color="auto" w:fill="17365D"/>
            <w:tcMar>
              <w:top w:w="90" w:type="dxa"/>
              <w:left w:w="110" w:type="dxa"/>
              <w:bottom w:w="90" w:type="dxa"/>
              <w:right w:w="110" w:type="dxa"/>
            </w:tcMar>
            <w:vAlign w:val="center"/>
          </w:tcPr>
          <w:p w14:paraId="1694DCD7" w14:textId="77777777" w:rsidR="004668C3" w:rsidRDefault="00000000">
            <w:r>
              <w:rPr>
                <w:b/>
                <w:color w:val="FFFFFF"/>
                <w:sz w:val="17"/>
              </w:rPr>
              <w:t>Stage</w:t>
            </w:r>
          </w:p>
        </w:tc>
        <w:tc>
          <w:tcPr>
            <w:tcW w:w="8280" w:type="dxa"/>
            <w:shd w:val="clear" w:color="auto" w:fill="17365D"/>
            <w:tcMar>
              <w:top w:w="90" w:type="dxa"/>
              <w:left w:w="110" w:type="dxa"/>
              <w:bottom w:w="90" w:type="dxa"/>
              <w:right w:w="110" w:type="dxa"/>
            </w:tcMar>
            <w:vAlign w:val="center"/>
          </w:tcPr>
          <w:p w14:paraId="67E8E750" w14:textId="77777777" w:rsidR="004668C3" w:rsidRDefault="00000000">
            <w:r>
              <w:rPr>
                <w:b/>
                <w:color w:val="FFFFFF"/>
                <w:sz w:val="17"/>
              </w:rPr>
              <w:t>Treatment</w:t>
            </w:r>
          </w:p>
        </w:tc>
      </w:tr>
      <w:tr w:rsidR="004668C3" w14:paraId="493CCDB4" w14:textId="77777777">
        <w:trPr>
          <w:cantSplit/>
          <w:jc w:val="center"/>
        </w:trPr>
        <w:tc>
          <w:tcPr>
            <w:tcW w:w="2376" w:type="dxa"/>
            <w:tcMar>
              <w:top w:w="90" w:type="dxa"/>
              <w:left w:w="110" w:type="dxa"/>
              <w:bottom w:w="90" w:type="dxa"/>
              <w:right w:w="110" w:type="dxa"/>
            </w:tcMar>
          </w:tcPr>
          <w:p w14:paraId="09BCAEE8" w14:textId="77777777" w:rsidR="004668C3" w:rsidRDefault="00000000">
            <w:pPr>
              <w:spacing w:after="0"/>
            </w:pPr>
            <w:r>
              <w:rPr>
                <w:sz w:val="17"/>
              </w:rPr>
              <w:t>Before the announcement</w:t>
            </w:r>
          </w:p>
        </w:tc>
        <w:tc>
          <w:tcPr>
            <w:tcW w:w="8280" w:type="dxa"/>
            <w:tcMar>
              <w:top w:w="90" w:type="dxa"/>
              <w:left w:w="110" w:type="dxa"/>
              <w:bottom w:w="90" w:type="dxa"/>
              <w:right w:w="110" w:type="dxa"/>
            </w:tcMar>
          </w:tcPr>
          <w:p w14:paraId="268EA42B" w14:textId="77777777" w:rsidR="004668C3" w:rsidRDefault="00000000">
            <w:pPr>
              <w:spacing w:after="0"/>
            </w:pPr>
            <w:r>
              <w:rPr>
                <w:sz w:val="17"/>
              </w:rPr>
              <w:t>Module A’s latest weekly target remains active. Module B has no surprise-driven position because the surprise is not yet known.</w:t>
            </w:r>
          </w:p>
        </w:tc>
      </w:tr>
      <w:tr w:rsidR="004668C3" w14:paraId="7B8D88D9" w14:textId="77777777">
        <w:trPr>
          <w:cantSplit/>
          <w:jc w:val="center"/>
        </w:trPr>
        <w:tc>
          <w:tcPr>
            <w:tcW w:w="2376" w:type="dxa"/>
            <w:shd w:val="clear" w:color="auto" w:fill="EEF4FA"/>
            <w:tcMar>
              <w:top w:w="90" w:type="dxa"/>
              <w:left w:w="110" w:type="dxa"/>
              <w:bottom w:w="90" w:type="dxa"/>
              <w:right w:w="110" w:type="dxa"/>
            </w:tcMar>
          </w:tcPr>
          <w:p w14:paraId="3CAC4231" w14:textId="77777777" w:rsidR="004668C3" w:rsidRDefault="00000000">
            <w:pPr>
              <w:spacing w:after="0"/>
            </w:pPr>
            <w:r>
              <w:rPr>
                <w:sz w:val="17"/>
              </w:rPr>
              <w:t>Announcement window</w:t>
            </w:r>
          </w:p>
        </w:tc>
        <w:tc>
          <w:tcPr>
            <w:tcW w:w="8280" w:type="dxa"/>
            <w:shd w:val="clear" w:color="auto" w:fill="EEF4FA"/>
            <w:tcMar>
              <w:top w:w="90" w:type="dxa"/>
              <w:left w:w="110" w:type="dxa"/>
              <w:bottom w:w="90" w:type="dxa"/>
              <w:right w:w="110" w:type="dxa"/>
            </w:tcMar>
          </w:tcPr>
          <w:p w14:paraId="37741670" w14:textId="77777777" w:rsidR="004668C3" w:rsidRDefault="00000000">
            <w:pPr>
              <w:spacing w:after="0"/>
            </w:pPr>
            <w:r>
              <w:rPr>
                <w:sz w:val="17"/>
              </w:rPr>
              <w:t>Module A earns or loses P&amp;L from its pre-existing exposure. Module B measures the contemporaneous response, which is identification evidence rather than an executable pre-surprise trade.</w:t>
            </w:r>
          </w:p>
        </w:tc>
      </w:tr>
      <w:tr w:rsidR="004668C3" w14:paraId="766CD63C" w14:textId="77777777">
        <w:trPr>
          <w:cantSplit/>
          <w:jc w:val="center"/>
        </w:trPr>
        <w:tc>
          <w:tcPr>
            <w:tcW w:w="2376" w:type="dxa"/>
            <w:tcMar>
              <w:top w:w="90" w:type="dxa"/>
              <w:left w:w="110" w:type="dxa"/>
              <w:bottom w:w="90" w:type="dxa"/>
              <w:right w:w="110" w:type="dxa"/>
            </w:tcMar>
          </w:tcPr>
          <w:p w14:paraId="7FC7D594" w14:textId="77777777" w:rsidR="004668C3" w:rsidRDefault="00000000">
            <w:pPr>
              <w:spacing w:after="0"/>
            </w:pPr>
            <w:r>
              <w:rPr>
                <w:sz w:val="17"/>
              </w:rPr>
              <w:t>First permissible post-event price</w:t>
            </w:r>
          </w:p>
        </w:tc>
        <w:tc>
          <w:tcPr>
            <w:tcW w:w="8280" w:type="dxa"/>
            <w:tcMar>
              <w:top w:w="90" w:type="dxa"/>
              <w:left w:w="110" w:type="dxa"/>
              <w:bottom w:w="90" w:type="dxa"/>
              <w:right w:w="110" w:type="dxa"/>
            </w:tcMar>
          </w:tcPr>
          <w:p w14:paraId="30598C6C" w14:textId="77777777" w:rsidR="004668C3" w:rsidRDefault="00000000">
            <w:pPr>
              <w:spacing w:after="0"/>
            </w:pPr>
            <w:r>
              <w:rPr>
                <w:sz w:val="17"/>
              </w:rPr>
              <w:t>Module B may enter a reactive continuation or reversal trade based on the observed surprise. Module A remains at its latest weekly target until its scheduled rebalance.</w:t>
            </w:r>
          </w:p>
        </w:tc>
      </w:tr>
      <w:tr w:rsidR="004668C3" w14:paraId="5EE784D2" w14:textId="77777777">
        <w:trPr>
          <w:cantSplit/>
          <w:jc w:val="center"/>
        </w:trPr>
        <w:tc>
          <w:tcPr>
            <w:tcW w:w="2376" w:type="dxa"/>
            <w:shd w:val="clear" w:color="auto" w:fill="EEF4FA"/>
            <w:tcMar>
              <w:top w:w="90" w:type="dxa"/>
              <w:left w:w="110" w:type="dxa"/>
              <w:bottom w:w="90" w:type="dxa"/>
              <w:right w:w="110" w:type="dxa"/>
            </w:tcMar>
          </w:tcPr>
          <w:p w14:paraId="4863B52E" w14:textId="77777777" w:rsidR="004668C3" w:rsidRDefault="00000000">
            <w:pPr>
              <w:spacing w:after="0"/>
            </w:pPr>
            <w:r>
              <w:rPr>
                <w:sz w:val="17"/>
              </w:rPr>
              <w:t>Next Module A rebalance</w:t>
            </w:r>
          </w:p>
        </w:tc>
        <w:tc>
          <w:tcPr>
            <w:tcW w:w="8280" w:type="dxa"/>
            <w:shd w:val="clear" w:color="auto" w:fill="EEF4FA"/>
            <w:tcMar>
              <w:top w:w="90" w:type="dxa"/>
              <w:left w:w="110" w:type="dxa"/>
              <w:bottom w:w="90" w:type="dxa"/>
              <w:right w:w="110" w:type="dxa"/>
            </w:tcMar>
          </w:tcPr>
          <w:p w14:paraId="342A8971" w14:textId="77777777" w:rsidR="004668C3" w:rsidRDefault="00000000">
            <w:pPr>
              <w:spacing w:after="0"/>
            </w:pPr>
            <w:r>
              <w:rPr>
                <w:sz w:val="17"/>
              </w:rPr>
              <w:t>Updated OIS pricing, including the event’s effect, feeds into the new weekly signal. In a later combined implementation, any live Module B overlay must be netted with Module A and subject to the common risk cap.</w:t>
            </w:r>
          </w:p>
        </w:tc>
      </w:tr>
    </w:tbl>
    <w:p w14:paraId="72DF6525" w14:textId="77777777" w:rsidR="004668C3" w:rsidRDefault="00000000">
      <w:pPr>
        <w:pStyle w:val="Heading3"/>
      </w:pPr>
      <w:r>
        <w:t>B. Research treatment and attribution</w:t>
      </w:r>
    </w:p>
    <w:p w14:paraId="7F383C1E" w14:textId="77777777" w:rsidR="004668C3" w:rsidRDefault="00000000">
      <w:pPr>
        <w:spacing w:after="100"/>
      </w:pPr>
      <w:r>
        <w:t>Evaluate the modules as separate sleeves first. Module A’s full return series includes the consequences of carrying its baseline position through events. Module B’s implementable P&amp;L begins only at the documented post-event entry price. This prevents the same announcement move from being claimed twice.</w:t>
      </w:r>
    </w:p>
    <w:p w14:paraId="2B673885" w14:textId="77777777" w:rsidR="004668C3" w:rsidRDefault="00000000">
      <w:pPr>
        <w:spacing w:after="100"/>
      </w:pPr>
      <w:r>
        <w:t>Module C should split Module A P&amp;L into event and non-event periods and report whether a small number of meetings dominate the weekly strategy. Only after the standalone results are understood should a combined portfolio be considered, with Module A as the baseline and Module B as a temporary, netted and risk-capped overlay.</w:t>
      </w:r>
    </w:p>
    <w:p w14:paraId="31F01644" w14:textId="77777777" w:rsidR="004668C3" w:rsidRDefault="00000000">
      <w:pPr>
        <w:pStyle w:val="Heading3"/>
      </w:pPr>
      <w:r>
        <w:lastRenderedPageBreak/>
        <w:t>C. Alternatives and future extension</w:t>
      </w:r>
    </w:p>
    <w:p w14:paraId="62930146" w14:textId="77777777" w:rsidR="004668C3" w:rsidRDefault="00000000">
      <w:pPr>
        <w:spacing w:after="100"/>
      </w:pPr>
      <w:r>
        <w:t>A simple event de-risking version — for example, reducing Module A exposure before scheduled decisions and restoring it afterward — may be used as one pre-specified robustness test. It should not become a grid of reduction percentages and re-entry timings selected by backtest performance.</w:t>
      </w:r>
    </w:p>
    <w:p w14:paraId="3CA4BAB7" w14:textId="77777777" w:rsidR="004668C3" w:rsidRDefault="00000000">
      <w:pPr>
        <w:spacing w:after="100"/>
      </w:pPr>
      <w:r>
        <w:t>Predicting the central-bank surprise before the meeting is a distinct and potentially valuable future extension, not part of the core A–B design. It would require a separate pre-event forecasting model using information such as meeting-dated OIS, surveys, macro releases, communication and possibly option-implied distributions. The event sample is small and the overfitting risk is high, so this extension should be attempted only after the core project is complete.</w:t>
      </w:r>
    </w:p>
    <w:p w14:paraId="169BC19E" w14:textId="77777777" w:rsidR="004668C3" w:rsidRDefault="00000000">
      <w:pPr>
        <w:spacing w:after="100"/>
      </w:pPr>
      <w:r>
        <w:rPr>
          <w:b/>
        </w:rPr>
        <w:t xml:space="preserve">Selected project policy: </w:t>
      </w:r>
      <w:r>
        <w:t>Module A remains continuously invested according to its latest weekly target through BoE and ECB meetings; Module B takes no surprise-based position before the event and may trade only after the surprise is observable. Pre-event surprise forecasting is reserved as a future extension.</w:t>
      </w:r>
    </w:p>
    <w:p w14:paraId="705F9AA5" w14:textId="77777777" w:rsidR="004668C3" w:rsidRDefault="00000000">
      <w:pPr>
        <w:pStyle w:val="Heading2"/>
      </w:pPr>
      <w:r>
        <w:t>4.6 Module B benchmarks</w:t>
      </w:r>
    </w:p>
    <w:p w14:paraId="1EBC9A63" w14:textId="77777777" w:rsidR="004668C3" w:rsidRDefault="00000000">
      <w:pPr>
        <w:spacing w:after="100"/>
      </w:pPr>
      <w:r>
        <w:t>The benchmark set is partly shared with Module A, but it is not identical. Carry-only and trend-only rules are central competitors for a weekly FX strategy; they are less natural as headline benchmarks for a sparse event study.</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3744"/>
        <w:gridCol w:w="6912"/>
      </w:tblGrid>
      <w:tr w:rsidR="004668C3" w14:paraId="67324044" w14:textId="77777777">
        <w:trPr>
          <w:cantSplit/>
          <w:tblHeader/>
          <w:jc w:val="center"/>
        </w:trPr>
        <w:tc>
          <w:tcPr>
            <w:tcW w:w="3744" w:type="dxa"/>
            <w:shd w:val="clear" w:color="auto" w:fill="17365D"/>
            <w:tcMar>
              <w:top w:w="90" w:type="dxa"/>
              <w:left w:w="110" w:type="dxa"/>
              <w:bottom w:w="90" w:type="dxa"/>
              <w:right w:w="110" w:type="dxa"/>
            </w:tcMar>
            <w:vAlign w:val="center"/>
          </w:tcPr>
          <w:p w14:paraId="447B97C3" w14:textId="77777777" w:rsidR="004668C3" w:rsidRDefault="00000000">
            <w:r>
              <w:rPr>
                <w:b/>
                <w:color w:val="FFFFFF"/>
                <w:sz w:val="17"/>
              </w:rPr>
              <w:t>Benchmark or control</w:t>
            </w:r>
          </w:p>
        </w:tc>
        <w:tc>
          <w:tcPr>
            <w:tcW w:w="6912" w:type="dxa"/>
            <w:shd w:val="clear" w:color="auto" w:fill="17365D"/>
            <w:tcMar>
              <w:top w:w="90" w:type="dxa"/>
              <w:left w:w="110" w:type="dxa"/>
              <w:bottom w:w="90" w:type="dxa"/>
              <w:right w:w="110" w:type="dxa"/>
            </w:tcMar>
            <w:vAlign w:val="center"/>
          </w:tcPr>
          <w:p w14:paraId="5479FED6" w14:textId="77777777" w:rsidR="004668C3" w:rsidRDefault="00000000">
            <w:r>
              <w:rPr>
                <w:b/>
                <w:color w:val="FFFFFF"/>
                <w:sz w:val="17"/>
              </w:rPr>
              <w:t>Use in Module B</w:t>
            </w:r>
          </w:p>
        </w:tc>
      </w:tr>
      <w:tr w:rsidR="004668C3" w14:paraId="71210340" w14:textId="77777777">
        <w:trPr>
          <w:cantSplit/>
          <w:jc w:val="center"/>
        </w:trPr>
        <w:tc>
          <w:tcPr>
            <w:tcW w:w="3744" w:type="dxa"/>
            <w:tcMar>
              <w:top w:w="90" w:type="dxa"/>
              <w:left w:w="110" w:type="dxa"/>
              <w:bottom w:w="90" w:type="dxa"/>
              <w:right w:w="110" w:type="dxa"/>
            </w:tcMar>
          </w:tcPr>
          <w:p w14:paraId="0DD85975" w14:textId="77777777" w:rsidR="004668C3" w:rsidRDefault="00000000">
            <w:pPr>
              <w:spacing w:after="0"/>
            </w:pPr>
            <w:r>
              <w:rPr>
                <w:sz w:val="17"/>
              </w:rPr>
              <w:t>Zero response / no post-event trade</w:t>
            </w:r>
          </w:p>
        </w:tc>
        <w:tc>
          <w:tcPr>
            <w:tcW w:w="6912" w:type="dxa"/>
            <w:tcMar>
              <w:top w:w="90" w:type="dxa"/>
              <w:left w:w="110" w:type="dxa"/>
              <w:bottom w:w="90" w:type="dxa"/>
              <w:right w:w="110" w:type="dxa"/>
            </w:tcMar>
          </w:tcPr>
          <w:p w14:paraId="3FEC8E6F" w14:textId="77777777" w:rsidR="004668C3" w:rsidRDefault="00000000">
            <w:pPr>
              <w:spacing w:after="0"/>
            </w:pPr>
            <w:r>
              <w:rPr>
                <w:sz w:val="17"/>
              </w:rPr>
              <w:t>Basic null for contemporaneous betas and implementable strategy P&amp;L</w:t>
            </w:r>
          </w:p>
        </w:tc>
      </w:tr>
      <w:tr w:rsidR="004668C3" w14:paraId="4251EDF1" w14:textId="77777777">
        <w:trPr>
          <w:cantSplit/>
          <w:jc w:val="center"/>
        </w:trPr>
        <w:tc>
          <w:tcPr>
            <w:tcW w:w="3744" w:type="dxa"/>
            <w:shd w:val="clear" w:color="auto" w:fill="EEF4FA"/>
            <w:tcMar>
              <w:top w:w="90" w:type="dxa"/>
              <w:left w:w="110" w:type="dxa"/>
              <w:bottom w:w="90" w:type="dxa"/>
              <w:right w:w="110" w:type="dxa"/>
            </w:tcMar>
          </w:tcPr>
          <w:p w14:paraId="1A86A0AB" w14:textId="77777777" w:rsidR="004668C3" w:rsidRDefault="00000000">
            <w:pPr>
              <w:spacing w:after="0"/>
            </w:pPr>
            <w:r>
              <w:rPr>
                <w:sz w:val="17"/>
              </w:rPr>
              <w:t>Non-event or matched control days</w:t>
            </w:r>
          </w:p>
        </w:tc>
        <w:tc>
          <w:tcPr>
            <w:tcW w:w="6912" w:type="dxa"/>
            <w:shd w:val="clear" w:color="auto" w:fill="EEF4FA"/>
            <w:tcMar>
              <w:top w:w="90" w:type="dxa"/>
              <w:left w:w="110" w:type="dxa"/>
              <w:bottom w:w="90" w:type="dxa"/>
              <w:right w:w="110" w:type="dxa"/>
            </w:tcMar>
          </w:tcPr>
          <w:p w14:paraId="39CE81AF" w14:textId="77777777" w:rsidR="004668C3" w:rsidRDefault="00000000">
            <w:pPr>
              <w:spacing w:after="0"/>
            </w:pPr>
            <w:r>
              <w:rPr>
                <w:sz w:val="17"/>
              </w:rPr>
              <w:t>Shows whether event-day moves are unusual; a diagnostic rather than a tradable benchmark</w:t>
            </w:r>
          </w:p>
        </w:tc>
      </w:tr>
      <w:tr w:rsidR="004668C3" w14:paraId="582166FA" w14:textId="77777777">
        <w:trPr>
          <w:cantSplit/>
          <w:jc w:val="center"/>
        </w:trPr>
        <w:tc>
          <w:tcPr>
            <w:tcW w:w="3744" w:type="dxa"/>
            <w:tcMar>
              <w:top w:w="90" w:type="dxa"/>
              <w:left w:w="110" w:type="dxa"/>
              <w:bottom w:w="90" w:type="dxa"/>
              <w:right w:w="110" w:type="dxa"/>
            </w:tcMar>
          </w:tcPr>
          <w:p w14:paraId="5C220872" w14:textId="77777777" w:rsidR="004668C3" w:rsidRDefault="00000000">
            <w:pPr>
              <w:spacing w:after="0"/>
            </w:pPr>
            <w:r>
              <w:rPr>
                <w:sz w:val="17"/>
              </w:rPr>
              <w:t>Constant-direction exposure around every event</w:t>
            </w:r>
          </w:p>
        </w:tc>
        <w:tc>
          <w:tcPr>
            <w:tcW w:w="6912" w:type="dxa"/>
            <w:tcMar>
              <w:top w:w="90" w:type="dxa"/>
              <w:left w:w="110" w:type="dxa"/>
              <w:bottom w:w="90" w:type="dxa"/>
              <w:right w:w="110" w:type="dxa"/>
            </w:tcMar>
          </w:tcPr>
          <w:p w14:paraId="20AAEBB6" w14:textId="77777777" w:rsidR="004668C3" w:rsidRDefault="00000000">
            <w:pPr>
              <w:spacing w:after="0"/>
            </w:pPr>
            <w:r>
              <w:rPr>
                <w:sz w:val="17"/>
              </w:rPr>
              <w:t>Tests whether returns come from a generic announcement-day premium rather than shock sign</w:t>
            </w:r>
          </w:p>
        </w:tc>
      </w:tr>
      <w:tr w:rsidR="004668C3" w14:paraId="3A8EDD80" w14:textId="77777777">
        <w:trPr>
          <w:cantSplit/>
          <w:jc w:val="center"/>
        </w:trPr>
        <w:tc>
          <w:tcPr>
            <w:tcW w:w="3744" w:type="dxa"/>
            <w:shd w:val="clear" w:color="auto" w:fill="EEF4FA"/>
            <w:tcMar>
              <w:top w:w="90" w:type="dxa"/>
              <w:left w:w="110" w:type="dxa"/>
              <w:bottom w:w="90" w:type="dxa"/>
              <w:right w:w="110" w:type="dxa"/>
            </w:tcMar>
          </w:tcPr>
          <w:p w14:paraId="14787810" w14:textId="77777777" w:rsidR="004668C3" w:rsidRDefault="00000000">
            <w:pPr>
              <w:spacing w:after="0"/>
            </w:pPr>
            <w:r>
              <w:rPr>
                <w:sz w:val="17"/>
              </w:rPr>
              <w:t>Sign-only versus magnitude-scaled surprise</w:t>
            </w:r>
          </w:p>
        </w:tc>
        <w:tc>
          <w:tcPr>
            <w:tcW w:w="6912" w:type="dxa"/>
            <w:shd w:val="clear" w:color="auto" w:fill="EEF4FA"/>
            <w:tcMar>
              <w:top w:w="90" w:type="dxa"/>
              <w:left w:w="110" w:type="dxa"/>
              <w:bottom w:w="90" w:type="dxa"/>
              <w:right w:w="110" w:type="dxa"/>
            </w:tcMar>
          </w:tcPr>
          <w:p w14:paraId="6CA2BF39" w14:textId="77777777" w:rsidR="004668C3" w:rsidRDefault="00000000">
            <w:pPr>
              <w:spacing w:after="0"/>
            </w:pPr>
            <w:r>
              <w:rPr>
                <w:sz w:val="17"/>
              </w:rPr>
              <w:t>Separates robust directional information from noisy factor magnitude</w:t>
            </w:r>
          </w:p>
        </w:tc>
      </w:tr>
      <w:tr w:rsidR="004668C3" w14:paraId="55984CBE" w14:textId="77777777">
        <w:trPr>
          <w:cantSplit/>
          <w:jc w:val="center"/>
        </w:trPr>
        <w:tc>
          <w:tcPr>
            <w:tcW w:w="3744" w:type="dxa"/>
            <w:tcMar>
              <w:top w:w="90" w:type="dxa"/>
              <w:left w:w="110" w:type="dxa"/>
              <w:bottom w:w="90" w:type="dxa"/>
              <w:right w:w="110" w:type="dxa"/>
            </w:tcMar>
          </w:tcPr>
          <w:p w14:paraId="15D451A4" w14:textId="77777777" w:rsidR="004668C3" w:rsidRDefault="00000000">
            <w:pPr>
              <w:spacing w:after="0"/>
            </w:pPr>
            <w:r>
              <w:rPr>
                <w:sz w:val="17"/>
              </w:rPr>
              <w:t>Immediate response versus post-event holding</w:t>
            </w:r>
          </w:p>
        </w:tc>
        <w:tc>
          <w:tcPr>
            <w:tcW w:w="6912" w:type="dxa"/>
            <w:tcMar>
              <w:top w:w="90" w:type="dxa"/>
              <w:left w:w="110" w:type="dxa"/>
              <w:bottom w:w="90" w:type="dxa"/>
              <w:right w:w="110" w:type="dxa"/>
            </w:tcMar>
          </w:tcPr>
          <w:p w14:paraId="0D4CC7C3" w14:textId="77777777" w:rsidR="004668C3" w:rsidRDefault="00000000">
            <w:pPr>
              <w:spacing w:after="0"/>
            </w:pPr>
            <w:r>
              <w:rPr>
                <w:sz w:val="17"/>
              </w:rPr>
              <w:t>Separates identification from implementability and continuation/reversal</w:t>
            </w:r>
          </w:p>
        </w:tc>
      </w:tr>
      <w:tr w:rsidR="004668C3" w14:paraId="0062322D" w14:textId="77777777">
        <w:trPr>
          <w:cantSplit/>
          <w:jc w:val="center"/>
        </w:trPr>
        <w:tc>
          <w:tcPr>
            <w:tcW w:w="3744" w:type="dxa"/>
            <w:shd w:val="clear" w:color="auto" w:fill="EEF4FA"/>
            <w:tcMar>
              <w:top w:w="90" w:type="dxa"/>
              <w:left w:w="110" w:type="dxa"/>
              <w:bottom w:w="90" w:type="dxa"/>
              <w:right w:w="110" w:type="dxa"/>
            </w:tcMar>
          </w:tcPr>
          <w:p w14:paraId="4EC50B1C" w14:textId="77777777" w:rsidR="004668C3" w:rsidRDefault="00000000">
            <w:pPr>
              <w:spacing w:after="0"/>
            </w:pPr>
            <w:r>
              <w:rPr>
                <w:sz w:val="17"/>
              </w:rPr>
              <w:t>Unscaled versus volatility-targeted</w:t>
            </w:r>
          </w:p>
        </w:tc>
        <w:tc>
          <w:tcPr>
            <w:tcW w:w="6912" w:type="dxa"/>
            <w:shd w:val="clear" w:color="auto" w:fill="EEF4FA"/>
            <w:tcMar>
              <w:top w:w="90" w:type="dxa"/>
              <w:left w:w="110" w:type="dxa"/>
              <w:bottom w:w="90" w:type="dxa"/>
              <w:right w:w="110" w:type="dxa"/>
            </w:tcMar>
          </w:tcPr>
          <w:p w14:paraId="78481533" w14:textId="77777777" w:rsidR="004668C3" w:rsidRDefault="00000000">
            <w:pPr>
              <w:spacing w:after="0"/>
            </w:pPr>
            <w:r>
              <w:rPr>
                <w:sz w:val="17"/>
              </w:rPr>
              <w:t>Separates event-signal performance from risk management</w:t>
            </w:r>
          </w:p>
        </w:tc>
      </w:tr>
      <w:tr w:rsidR="004668C3" w14:paraId="7EE5F9B7" w14:textId="77777777">
        <w:trPr>
          <w:cantSplit/>
          <w:jc w:val="center"/>
        </w:trPr>
        <w:tc>
          <w:tcPr>
            <w:tcW w:w="3744" w:type="dxa"/>
            <w:tcMar>
              <w:top w:w="90" w:type="dxa"/>
              <w:left w:w="110" w:type="dxa"/>
              <w:bottom w:w="90" w:type="dxa"/>
              <w:right w:w="110" w:type="dxa"/>
            </w:tcMar>
          </w:tcPr>
          <w:p w14:paraId="522BAA5C" w14:textId="77777777" w:rsidR="004668C3" w:rsidRDefault="00000000">
            <w:pPr>
              <w:spacing w:after="0"/>
            </w:pPr>
            <w:r>
              <w:rPr>
                <w:sz w:val="17"/>
              </w:rPr>
              <w:t>Carry and trend controls</w:t>
            </w:r>
          </w:p>
        </w:tc>
        <w:tc>
          <w:tcPr>
            <w:tcW w:w="6912" w:type="dxa"/>
            <w:tcMar>
              <w:top w:w="90" w:type="dxa"/>
              <w:left w:w="110" w:type="dxa"/>
              <w:bottom w:w="90" w:type="dxa"/>
              <w:right w:w="110" w:type="dxa"/>
            </w:tcMar>
          </w:tcPr>
          <w:p w14:paraId="7033663C" w14:textId="77777777" w:rsidR="004668C3" w:rsidRDefault="00000000">
            <w:pPr>
              <w:spacing w:after="0"/>
            </w:pPr>
            <w:r>
              <w:rPr>
                <w:sz w:val="17"/>
              </w:rPr>
              <w:t>Optional explanatory controls for FX post-event returns, not mandatory headline benchmarks</w:t>
            </w:r>
          </w:p>
        </w:tc>
      </w:tr>
    </w:tbl>
    <w:p w14:paraId="57A9CD4D" w14:textId="77777777" w:rsidR="004668C3" w:rsidRDefault="004668C3">
      <w:pPr>
        <w:spacing w:after="100"/>
      </w:pPr>
    </w:p>
    <w:p w14:paraId="2835EB80" w14:textId="77777777" w:rsidR="004668C3" w:rsidRDefault="00000000">
      <w:pPr>
        <w:pStyle w:val="Heading1"/>
      </w:pPr>
      <w:r>
        <w:rPr>
          <w:rFonts w:ascii="Aptos" w:eastAsia="Aptos" w:hAnsi="Aptos"/>
          <w:b w:val="0"/>
        </w:rPr>
        <w:t>5. Module C — expression comparison and attribution</w:t>
      </w:r>
    </w:p>
    <w:p w14:paraId="37984FE3" w14:textId="77777777" w:rsidR="004668C3" w:rsidRDefault="00000000">
      <w:pPr>
        <w:spacing w:after="100"/>
      </w:pPr>
      <w:r>
        <w:t>Module C does not create a third macro signal. It combines the evidence from Modules A and B to answer the project’s north-star question: which expression is cleanest under which type of policy movement, over which horizon, and why?</w:t>
      </w:r>
    </w:p>
    <w:p w14:paraId="693D8EC1" w14:textId="77777777" w:rsidR="004668C3" w:rsidRDefault="00000000">
      <w:pPr>
        <w:pStyle w:val="Heading2"/>
      </w:pPr>
      <w:r>
        <w:rPr>
          <w:rFonts w:ascii="Aptos" w:eastAsia="Aptos" w:hAnsi="Aptos"/>
          <w:b w:val="0"/>
        </w:rPr>
        <w:t>5.1 What Module C compares</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2232"/>
        <w:gridCol w:w="8424"/>
      </w:tblGrid>
      <w:tr w:rsidR="004668C3" w14:paraId="790D5B4D" w14:textId="77777777">
        <w:trPr>
          <w:cantSplit/>
          <w:tblHeader/>
          <w:jc w:val="center"/>
        </w:trPr>
        <w:tc>
          <w:tcPr>
            <w:tcW w:w="2232" w:type="dxa"/>
            <w:shd w:val="clear" w:color="auto" w:fill="17365D"/>
            <w:tcMar>
              <w:top w:w="90" w:type="dxa"/>
              <w:left w:w="110" w:type="dxa"/>
              <w:bottom w:w="90" w:type="dxa"/>
              <w:right w:w="110" w:type="dxa"/>
            </w:tcMar>
            <w:vAlign w:val="center"/>
          </w:tcPr>
          <w:p w14:paraId="799A7367" w14:textId="77777777" w:rsidR="004668C3" w:rsidRDefault="00000000">
            <w:r>
              <w:rPr>
                <w:b/>
                <w:color w:val="FFFFFF"/>
                <w:sz w:val="17"/>
              </w:rPr>
              <w:t>Dimension</w:t>
            </w:r>
          </w:p>
        </w:tc>
        <w:tc>
          <w:tcPr>
            <w:tcW w:w="8424" w:type="dxa"/>
            <w:shd w:val="clear" w:color="auto" w:fill="17365D"/>
            <w:tcMar>
              <w:top w:w="90" w:type="dxa"/>
              <w:left w:w="110" w:type="dxa"/>
              <w:bottom w:w="90" w:type="dxa"/>
              <w:right w:w="110" w:type="dxa"/>
            </w:tcMar>
            <w:vAlign w:val="center"/>
          </w:tcPr>
          <w:p w14:paraId="354A28D6" w14:textId="77777777" w:rsidR="004668C3" w:rsidRDefault="00000000">
            <w:r>
              <w:rPr>
                <w:b/>
                <w:color w:val="FFFFFF"/>
                <w:sz w:val="17"/>
              </w:rPr>
              <w:t>Questions</w:t>
            </w:r>
          </w:p>
        </w:tc>
      </w:tr>
      <w:tr w:rsidR="004668C3" w14:paraId="48F663D0" w14:textId="77777777">
        <w:trPr>
          <w:cantSplit/>
          <w:jc w:val="center"/>
        </w:trPr>
        <w:tc>
          <w:tcPr>
            <w:tcW w:w="2232" w:type="dxa"/>
            <w:tcMar>
              <w:top w:w="90" w:type="dxa"/>
              <w:left w:w="110" w:type="dxa"/>
              <w:bottom w:w="90" w:type="dxa"/>
              <w:right w:w="110" w:type="dxa"/>
            </w:tcMar>
          </w:tcPr>
          <w:p w14:paraId="107496B5" w14:textId="77777777" w:rsidR="004668C3" w:rsidRDefault="00000000">
            <w:pPr>
              <w:spacing w:after="0"/>
            </w:pPr>
            <w:r>
              <w:rPr>
                <w:sz w:val="17"/>
              </w:rPr>
              <w:t>Signal sensitivity</w:t>
            </w:r>
          </w:p>
        </w:tc>
        <w:tc>
          <w:tcPr>
            <w:tcW w:w="8424" w:type="dxa"/>
            <w:tcMar>
              <w:top w:w="90" w:type="dxa"/>
              <w:left w:w="110" w:type="dxa"/>
              <w:bottom w:w="90" w:type="dxa"/>
              <w:right w:w="110" w:type="dxa"/>
            </w:tcMar>
          </w:tcPr>
          <w:p w14:paraId="63C64949" w14:textId="77777777" w:rsidR="004668C3" w:rsidRDefault="00000000">
            <w:pPr>
              <w:spacing w:after="0"/>
            </w:pPr>
            <w:r>
              <w:rPr>
                <w:sz w:val="17"/>
              </w:rPr>
              <w:t>Which expressions load most consistently on the slow divergence signal and on each surprise factor?</w:t>
            </w:r>
          </w:p>
        </w:tc>
      </w:tr>
      <w:tr w:rsidR="004668C3" w14:paraId="6E322FC0" w14:textId="77777777">
        <w:trPr>
          <w:cantSplit/>
          <w:jc w:val="center"/>
        </w:trPr>
        <w:tc>
          <w:tcPr>
            <w:tcW w:w="2232" w:type="dxa"/>
            <w:shd w:val="clear" w:color="auto" w:fill="EEF4FA"/>
            <w:tcMar>
              <w:top w:w="90" w:type="dxa"/>
              <w:left w:w="110" w:type="dxa"/>
              <w:bottom w:w="90" w:type="dxa"/>
              <w:right w:w="110" w:type="dxa"/>
            </w:tcMar>
          </w:tcPr>
          <w:p w14:paraId="2F600ACA" w14:textId="77777777" w:rsidR="004668C3" w:rsidRDefault="00000000">
            <w:pPr>
              <w:spacing w:after="0"/>
            </w:pPr>
            <w:r>
              <w:rPr>
                <w:sz w:val="17"/>
              </w:rPr>
              <w:t>Risk efficiency</w:t>
            </w:r>
          </w:p>
        </w:tc>
        <w:tc>
          <w:tcPr>
            <w:tcW w:w="8424" w:type="dxa"/>
            <w:shd w:val="clear" w:color="auto" w:fill="EEF4FA"/>
            <w:tcMar>
              <w:top w:w="90" w:type="dxa"/>
              <w:left w:w="110" w:type="dxa"/>
              <w:bottom w:w="90" w:type="dxa"/>
              <w:right w:w="110" w:type="dxa"/>
            </w:tcMar>
          </w:tcPr>
          <w:p w14:paraId="128AB443" w14:textId="77777777" w:rsidR="004668C3" w:rsidRDefault="00000000">
            <w:pPr>
              <w:spacing w:after="0"/>
            </w:pPr>
            <w:r>
              <w:rPr>
                <w:sz w:val="17"/>
              </w:rPr>
              <w:t>After common ex-ante volatility normalisation, which expression offers the best return per unit of intended risk?</w:t>
            </w:r>
          </w:p>
        </w:tc>
      </w:tr>
      <w:tr w:rsidR="004668C3" w14:paraId="38487266" w14:textId="77777777">
        <w:trPr>
          <w:cantSplit/>
          <w:jc w:val="center"/>
        </w:trPr>
        <w:tc>
          <w:tcPr>
            <w:tcW w:w="2232" w:type="dxa"/>
            <w:tcMar>
              <w:top w:w="90" w:type="dxa"/>
              <w:left w:w="110" w:type="dxa"/>
              <w:bottom w:w="90" w:type="dxa"/>
              <w:right w:w="110" w:type="dxa"/>
            </w:tcMar>
          </w:tcPr>
          <w:p w14:paraId="165EC88C" w14:textId="77777777" w:rsidR="004668C3" w:rsidRDefault="00000000">
            <w:pPr>
              <w:spacing w:after="0"/>
            </w:pPr>
            <w:r>
              <w:rPr>
                <w:sz w:val="17"/>
              </w:rPr>
              <w:t>Contamination</w:t>
            </w:r>
          </w:p>
        </w:tc>
        <w:tc>
          <w:tcPr>
            <w:tcW w:w="8424" w:type="dxa"/>
            <w:tcMar>
              <w:top w:w="90" w:type="dxa"/>
              <w:left w:w="110" w:type="dxa"/>
              <w:bottom w:w="90" w:type="dxa"/>
              <w:right w:w="110" w:type="dxa"/>
            </w:tcMar>
          </w:tcPr>
          <w:p w14:paraId="4D4056A2" w14:textId="77777777" w:rsidR="004668C3" w:rsidRDefault="00000000">
            <w:pPr>
              <w:spacing w:after="0"/>
            </w:pPr>
            <w:r>
              <w:rPr>
                <w:sz w:val="17"/>
              </w:rPr>
              <w:t>Are results driven by global risk sentiment, fiscal shocks, term premium, broad currency moves or one crisis episode?</w:t>
            </w:r>
          </w:p>
        </w:tc>
      </w:tr>
      <w:tr w:rsidR="004668C3" w14:paraId="34DAC263" w14:textId="77777777">
        <w:trPr>
          <w:cantSplit/>
          <w:jc w:val="center"/>
        </w:trPr>
        <w:tc>
          <w:tcPr>
            <w:tcW w:w="2232" w:type="dxa"/>
            <w:shd w:val="clear" w:color="auto" w:fill="EEF4FA"/>
            <w:tcMar>
              <w:top w:w="90" w:type="dxa"/>
              <w:left w:w="110" w:type="dxa"/>
              <w:bottom w:w="90" w:type="dxa"/>
              <w:right w:w="110" w:type="dxa"/>
            </w:tcMar>
          </w:tcPr>
          <w:p w14:paraId="4E597BF6" w14:textId="77777777" w:rsidR="004668C3" w:rsidRDefault="00000000">
            <w:pPr>
              <w:spacing w:after="0"/>
            </w:pPr>
            <w:r>
              <w:rPr>
                <w:sz w:val="17"/>
              </w:rPr>
              <w:t>Implementability</w:t>
            </w:r>
          </w:p>
        </w:tc>
        <w:tc>
          <w:tcPr>
            <w:tcW w:w="8424" w:type="dxa"/>
            <w:shd w:val="clear" w:color="auto" w:fill="EEF4FA"/>
            <w:tcMar>
              <w:top w:w="90" w:type="dxa"/>
              <w:left w:w="110" w:type="dxa"/>
              <w:bottom w:w="90" w:type="dxa"/>
              <w:right w:w="110" w:type="dxa"/>
            </w:tcMar>
          </w:tcPr>
          <w:p w14:paraId="59F55C17" w14:textId="77777777" w:rsidR="004668C3" w:rsidRDefault="00000000">
            <w:pPr>
              <w:spacing w:after="0"/>
            </w:pPr>
            <w:r>
              <w:rPr>
                <w:sz w:val="17"/>
              </w:rPr>
              <w:t>What survives realistic carry, roll, turnover, transaction costs and execution lags?</w:t>
            </w:r>
          </w:p>
        </w:tc>
      </w:tr>
      <w:tr w:rsidR="004668C3" w14:paraId="281A8028" w14:textId="77777777">
        <w:trPr>
          <w:cantSplit/>
          <w:jc w:val="center"/>
        </w:trPr>
        <w:tc>
          <w:tcPr>
            <w:tcW w:w="2232" w:type="dxa"/>
            <w:tcMar>
              <w:top w:w="90" w:type="dxa"/>
              <w:left w:w="110" w:type="dxa"/>
              <w:bottom w:w="90" w:type="dxa"/>
              <w:right w:w="110" w:type="dxa"/>
            </w:tcMar>
          </w:tcPr>
          <w:p w14:paraId="4760163F" w14:textId="77777777" w:rsidR="004668C3" w:rsidRDefault="00000000">
            <w:pPr>
              <w:spacing w:after="0"/>
            </w:pPr>
            <w:r>
              <w:rPr>
                <w:sz w:val="17"/>
              </w:rPr>
              <w:t>Robustness</w:t>
            </w:r>
          </w:p>
        </w:tc>
        <w:tc>
          <w:tcPr>
            <w:tcW w:w="8424" w:type="dxa"/>
            <w:tcMar>
              <w:top w:w="90" w:type="dxa"/>
              <w:left w:w="110" w:type="dxa"/>
              <w:bottom w:w="90" w:type="dxa"/>
              <w:right w:w="110" w:type="dxa"/>
            </w:tcMar>
          </w:tcPr>
          <w:p w14:paraId="4C425743" w14:textId="77777777" w:rsidR="004668C3" w:rsidRDefault="00000000">
            <w:pPr>
              <w:spacing w:after="0"/>
            </w:pPr>
            <w:r>
              <w:rPr>
                <w:sz w:val="17"/>
              </w:rPr>
              <w:t>Does the ranking persist across samples, regimes, horizons, rebalance timing and event definitions?</w:t>
            </w:r>
          </w:p>
        </w:tc>
      </w:tr>
      <w:tr w:rsidR="004668C3" w14:paraId="77D7BA22" w14:textId="77777777">
        <w:trPr>
          <w:cantSplit/>
          <w:jc w:val="center"/>
        </w:trPr>
        <w:tc>
          <w:tcPr>
            <w:tcW w:w="2232" w:type="dxa"/>
            <w:shd w:val="clear" w:color="auto" w:fill="EEF4FA"/>
            <w:tcMar>
              <w:top w:w="90" w:type="dxa"/>
              <w:left w:w="110" w:type="dxa"/>
              <w:bottom w:w="90" w:type="dxa"/>
              <w:right w:w="110" w:type="dxa"/>
            </w:tcMar>
          </w:tcPr>
          <w:p w14:paraId="1BB337B4" w14:textId="77777777" w:rsidR="004668C3" w:rsidRDefault="00000000">
            <w:pPr>
              <w:spacing w:after="0"/>
            </w:pPr>
            <w:r>
              <w:rPr>
                <w:sz w:val="17"/>
              </w:rPr>
              <w:t>Interpretability</w:t>
            </w:r>
          </w:p>
        </w:tc>
        <w:tc>
          <w:tcPr>
            <w:tcW w:w="8424" w:type="dxa"/>
            <w:shd w:val="clear" w:color="auto" w:fill="EEF4FA"/>
            <w:tcMar>
              <w:top w:w="90" w:type="dxa"/>
              <w:left w:w="110" w:type="dxa"/>
              <w:bottom w:w="90" w:type="dxa"/>
              <w:right w:w="110" w:type="dxa"/>
            </w:tcMar>
          </w:tcPr>
          <w:p w14:paraId="456CBE92" w14:textId="77777777" w:rsidR="004668C3" w:rsidRDefault="00000000">
            <w:pPr>
              <w:spacing w:after="0"/>
            </w:pPr>
            <w:r>
              <w:rPr>
                <w:sz w:val="17"/>
              </w:rPr>
              <w:t>Can the return be reconciled to transparent market mechanics rather than a post-hoc story?</w:t>
            </w:r>
          </w:p>
        </w:tc>
      </w:tr>
    </w:tbl>
    <w:p w14:paraId="2A0C950D" w14:textId="77777777" w:rsidR="004668C3" w:rsidRDefault="004668C3">
      <w:pPr>
        <w:spacing w:after="100"/>
      </w:pPr>
    </w:p>
    <w:p w14:paraId="3FBEE060" w14:textId="77777777" w:rsidR="004668C3" w:rsidRDefault="00000000">
      <w:pPr>
        <w:pStyle w:val="Heading2"/>
      </w:pPr>
      <w:r>
        <w:rPr>
          <w:rFonts w:ascii="Aptos" w:eastAsia="Aptos" w:hAnsi="Aptos"/>
          <w:b w:val="0"/>
        </w:rPr>
        <w:t>5.2 Required attribution</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2592"/>
        <w:gridCol w:w="8064"/>
      </w:tblGrid>
      <w:tr w:rsidR="004668C3" w14:paraId="07B93BBB" w14:textId="77777777">
        <w:trPr>
          <w:cantSplit/>
          <w:tblHeader/>
          <w:jc w:val="center"/>
        </w:trPr>
        <w:tc>
          <w:tcPr>
            <w:tcW w:w="2592" w:type="dxa"/>
            <w:shd w:val="clear" w:color="auto" w:fill="17365D"/>
            <w:tcMar>
              <w:top w:w="90" w:type="dxa"/>
              <w:left w:w="110" w:type="dxa"/>
              <w:bottom w:w="90" w:type="dxa"/>
              <w:right w:w="110" w:type="dxa"/>
            </w:tcMar>
            <w:vAlign w:val="center"/>
          </w:tcPr>
          <w:p w14:paraId="18B295C0" w14:textId="77777777" w:rsidR="004668C3" w:rsidRDefault="00000000">
            <w:r>
              <w:rPr>
                <w:b/>
                <w:color w:val="FFFFFF"/>
                <w:sz w:val="18"/>
              </w:rPr>
              <w:t>Expression</w:t>
            </w:r>
          </w:p>
        </w:tc>
        <w:tc>
          <w:tcPr>
            <w:tcW w:w="8064" w:type="dxa"/>
            <w:shd w:val="clear" w:color="auto" w:fill="17365D"/>
            <w:tcMar>
              <w:top w:w="90" w:type="dxa"/>
              <w:left w:w="110" w:type="dxa"/>
              <w:bottom w:w="90" w:type="dxa"/>
              <w:right w:w="110" w:type="dxa"/>
            </w:tcMar>
            <w:vAlign w:val="center"/>
          </w:tcPr>
          <w:p w14:paraId="1627962F" w14:textId="77777777" w:rsidR="004668C3" w:rsidRDefault="00000000">
            <w:r>
              <w:rPr>
                <w:b/>
                <w:color w:val="FFFFFF"/>
                <w:sz w:val="18"/>
              </w:rPr>
              <w:t>Attribution to show</w:t>
            </w:r>
          </w:p>
        </w:tc>
      </w:tr>
      <w:tr w:rsidR="004668C3" w14:paraId="14092020" w14:textId="77777777">
        <w:trPr>
          <w:cantSplit/>
          <w:jc w:val="center"/>
        </w:trPr>
        <w:tc>
          <w:tcPr>
            <w:tcW w:w="2592" w:type="dxa"/>
            <w:tcMar>
              <w:top w:w="90" w:type="dxa"/>
              <w:left w:w="110" w:type="dxa"/>
              <w:bottom w:w="90" w:type="dxa"/>
              <w:right w:w="110" w:type="dxa"/>
            </w:tcMar>
          </w:tcPr>
          <w:p w14:paraId="68352051" w14:textId="77777777" w:rsidR="004668C3" w:rsidRDefault="00000000">
            <w:pPr>
              <w:spacing w:after="0"/>
            </w:pPr>
            <w:r>
              <w:rPr>
                <w:sz w:val="18"/>
              </w:rPr>
              <w:t>FX forward</w:t>
            </w:r>
          </w:p>
        </w:tc>
        <w:tc>
          <w:tcPr>
            <w:tcW w:w="8064" w:type="dxa"/>
            <w:tcMar>
              <w:top w:w="90" w:type="dxa"/>
              <w:left w:w="110" w:type="dxa"/>
              <w:bottom w:w="90" w:type="dxa"/>
              <w:right w:w="110" w:type="dxa"/>
            </w:tcMar>
          </w:tcPr>
          <w:p w14:paraId="5925A3C8" w14:textId="77777777" w:rsidR="004668C3" w:rsidRDefault="00000000">
            <w:pPr>
              <w:spacing w:after="0"/>
            </w:pPr>
            <w:r>
              <w:rPr>
                <w:sz w:val="18"/>
              </w:rPr>
              <w:t>Spot movement; forward/carry component; transaction costs; scaling effect</w:t>
            </w:r>
          </w:p>
        </w:tc>
      </w:tr>
      <w:tr w:rsidR="004668C3" w14:paraId="75794050" w14:textId="77777777">
        <w:trPr>
          <w:cantSplit/>
          <w:jc w:val="center"/>
        </w:trPr>
        <w:tc>
          <w:tcPr>
            <w:tcW w:w="2592" w:type="dxa"/>
            <w:shd w:val="clear" w:color="auto" w:fill="EEF4FA"/>
            <w:tcMar>
              <w:top w:w="90" w:type="dxa"/>
              <w:left w:w="110" w:type="dxa"/>
              <w:bottom w:w="90" w:type="dxa"/>
              <w:right w:w="110" w:type="dxa"/>
            </w:tcMar>
          </w:tcPr>
          <w:p w14:paraId="3D2237C1" w14:textId="77777777" w:rsidR="004668C3" w:rsidRDefault="00000000">
            <w:pPr>
              <w:spacing w:after="0"/>
            </w:pPr>
            <w:r>
              <w:rPr>
                <w:sz w:val="18"/>
              </w:rPr>
              <w:t>2Y / 10Y spread</w:t>
            </w:r>
          </w:p>
        </w:tc>
        <w:tc>
          <w:tcPr>
            <w:tcW w:w="8064" w:type="dxa"/>
            <w:shd w:val="clear" w:color="auto" w:fill="EEF4FA"/>
            <w:tcMar>
              <w:top w:w="90" w:type="dxa"/>
              <w:left w:w="110" w:type="dxa"/>
              <w:bottom w:w="90" w:type="dxa"/>
              <w:right w:w="110" w:type="dxa"/>
            </w:tcMar>
          </w:tcPr>
          <w:p w14:paraId="64C1AF91" w14:textId="77777777" w:rsidR="004668C3" w:rsidRDefault="00000000">
            <w:r>
              <w:t>UK leg; German leg; common-currency DV01 balance; active futures contract and CTD/maturity-bucket metadata; signal-driven turnover; contract-roll turnover and costs; carry/roll where available; futures-versus-synthetic construction difference.</w:t>
            </w:r>
          </w:p>
        </w:tc>
      </w:tr>
      <w:tr w:rsidR="004668C3" w14:paraId="4DE4B42A" w14:textId="77777777">
        <w:trPr>
          <w:cantSplit/>
          <w:jc w:val="center"/>
        </w:trPr>
        <w:tc>
          <w:tcPr>
            <w:tcW w:w="2592" w:type="dxa"/>
            <w:tcMar>
              <w:top w:w="90" w:type="dxa"/>
              <w:left w:w="110" w:type="dxa"/>
              <w:bottom w:w="90" w:type="dxa"/>
              <w:right w:w="110" w:type="dxa"/>
            </w:tcMar>
          </w:tcPr>
          <w:p w14:paraId="47A539D1" w14:textId="77777777" w:rsidR="004668C3" w:rsidRDefault="00000000">
            <w:pPr>
              <w:spacing w:after="0"/>
            </w:pPr>
            <w:r>
              <w:rPr>
                <w:sz w:val="18"/>
              </w:rPr>
              <w:t>Curve trade</w:t>
            </w:r>
          </w:p>
        </w:tc>
        <w:tc>
          <w:tcPr>
            <w:tcW w:w="8064" w:type="dxa"/>
            <w:tcMar>
              <w:top w:w="90" w:type="dxa"/>
              <w:left w:w="110" w:type="dxa"/>
              <w:bottom w:w="90" w:type="dxa"/>
              <w:right w:w="110" w:type="dxa"/>
            </w:tcMar>
          </w:tcPr>
          <w:p w14:paraId="28A7F167" w14:textId="77777777" w:rsidR="004668C3" w:rsidRDefault="00000000">
            <w:pPr>
              <w:spacing w:after="0"/>
            </w:pPr>
            <w:r>
              <w:rPr>
                <w:sz w:val="18"/>
              </w:rPr>
              <w:t>Each maturity and country leg; net curve component; duration balance</w:t>
            </w:r>
          </w:p>
        </w:tc>
      </w:tr>
      <w:tr w:rsidR="004668C3" w14:paraId="76CC6EA1" w14:textId="77777777">
        <w:trPr>
          <w:cantSplit/>
          <w:jc w:val="center"/>
        </w:trPr>
        <w:tc>
          <w:tcPr>
            <w:tcW w:w="2592" w:type="dxa"/>
            <w:shd w:val="clear" w:color="auto" w:fill="EEF4FA"/>
            <w:tcMar>
              <w:top w:w="90" w:type="dxa"/>
              <w:left w:w="110" w:type="dxa"/>
              <w:bottom w:w="90" w:type="dxa"/>
              <w:right w:w="110" w:type="dxa"/>
            </w:tcMar>
          </w:tcPr>
          <w:p w14:paraId="59E08E7E" w14:textId="77777777" w:rsidR="004668C3" w:rsidRDefault="00000000">
            <w:pPr>
              <w:spacing w:after="0"/>
            </w:pPr>
            <w:r>
              <w:rPr>
                <w:sz w:val="18"/>
              </w:rPr>
              <w:t>Basket</w:t>
            </w:r>
          </w:p>
        </w:tc>
        <w:tc>
          <w:tcPr>
            <w:tcW w:w="8064" w:type="dxa"/>
            <w:shd w:val="clear" w:color="auto" w:fill="EEF4FA"/>
            <w:tcMar>
              <w:top w:w="90" w:type="dxa"/>
              <w:left w:w="110" w:type="dxa"/>
              <w:bottom w:w="90" w:type="dxa"/>
              <w:right w:w="110" w:type="dxa"/>
            </w:tcMar>
          </w:tcPr>
          <w:p w14:paraId="16C74C72" w14:textId="77777777" w:rsidR="004668C3" w:rsidRDefault="00000000">
            <w:pPr>
              <w:spacing w:after="0"/>
            </w:pPr>
            <w:r>
              <w:rPr>
                <w:sz w:val="18"/>
              </w:rPr>
              <w:t>Contribution from each component; covariance/diversification effect; equal-weight versus equal-risk difference</w:t>
            </w:r>
          </w:p>
        </w:tc>
      </w:tr>
      <w:tr w:rsidR="004668C3" w14:paraId="5BAA0E69" w14:textId="77777777">
        <w:trPr>
          <w:cantSplit/>
          <w:jc w:val="center"/>
        </w:trPr>
        <w:tc>
          <w:tcPr>
            <w:tcW w:w="2592" w:type="dxa"/>
            <w:tcMar>
              <w:top w:w="90" w:type="dxa"/>
              <w:left w:w="110" w:type="dxa"/>
              <w:bottom w:w="90" w:type="dxa"/>
              <w:right w:w="110" w:type="dxa"/>
            </w:tcMar>
          </w:tcPr>
          <w:p w14:paraId="1BBCFFB1" w14:textId="77777777" w:rsidR="004668C3" w:rsidRDefault="00000000">
            <w:pPr>
              <w:spacing w:after="0"/>
            </w:pPr>
            <w:r>
              <w:rPr>
                <w:sz w:val="18"/>
              </w:rPr>
              <w:t>All strategies</w:t>
            </w:r>
          </w:p>
        </w:tc>
        <w:tc>
          <w:tcPr>
            <w:tcW w:w="8064" w:type="dxa"/>
            <w:tcMar>
              <w:top w:w="90" w:type="dxa"/>
              <w:left w:w="110" w:type="dxa"/>
              <w:bottom w:w="90" w:type="dxa"/>
              <w:right w:w="110" w:type="dxa"/>
            </w:tcMar>
          </w:tcPr>
          <w:p w14:paraId="3CA9DDAD" w14:textId="77777777" w:rsidR="004668C3" w:rsidRDefault="00000000">
            <w:pPr>
              <w:spacing w:after="0"/>
            </w:pPr>
            <w:r>
              <w:rPr>
                <w:sz w:val="18"/>
              </w:rPr>
              <w:t>Event versus non-event P&amp;L; regime contribution; gross versus net; unscaled versus scaled</w:t>
            </w:r>
          </w:p>
        </w:tc>
      </w:tr>
      <w:tr w:rsidR="004668C3" w14:paraId="72BFB696" w14:textId="77777777">
        <w:trPr>
          <w:cantSplit/>
          <w:jc w:val="center"/>
        </w:trPr>
        <w:tc>
          <w:tcPr>
            <w:tcW w:w="2592" w:type="dxa"/>
            <w:tcMar>
              <w:top w:w="90" w:type="dxa"/>
              <w:left w:w="110" w:type="dxa"/>
              <w:bottom w:w="90" w:type="dxa"/>
              <w:right w:w="110" w:type="dxa"/>
            </w:tcMar>
          </w:tcPr>
          <w:p w14:paraId="25F7C6CF" w14:textId="77777777" w:rsidR="004668C3" w:rsidRDefault="00000000">
            <w:pPr>
              <w:spacing w:after="0"/>
            </w:pPr>
            <w:r>
              <w:rPr>
                <w:sz w:val="18"/>
              </w:rPr>
              <w:t>Combined A + B implementation</w:t>
            </w:r>
          </w:p>
        </w:tc>
        <w:tc>
          <w:tcPr>
            <w:tcW w:w="8064" w:type="dxa"/>
            <w:tcMar>
              <w:top w:w="90" w:type="dxa"/>
              <w:left w:w="110" w:type="dxa"/>
              <w:bottom w:w="90" w:type="dxa"/>
              <w:right w:w="110" w:type="dxa"/>
            </w:tcMar>
          </w:tcPr>
          <w:p w14:paraId="2D92C5EC" w14:textId="77777777" w:rsidR="004668C3" w:rsidRDefault="00000000">
            <w:pPr>
              <w:spacing w:after="0"/>
            </w:pPr>
            <w:r>
              <w:rPr>
                <w:sz w:val="18"/>
              </w:rPr>
              <w:t>Module A baseline; Module B overlay; netting of common instruments; risk-cap effect; overlapping holding periods; no double attribution</w:t>
            </w:r>
          </w:p>
        </w:tc>
      </w:tr>
    </w:tbl>
    <w:p w14:paraId="3FCCA01D" w14:textId="77777777" w:rsidR="004668C3" w:rsidRDefault="004668C3">
      <w:pPr>
        <w:spacing w:after="100"/>
      </w:pPr>
    </w:p>
    <w:p w14:paraId="28274989" w14:textId="77777777" w:rsidR="004668C3" w:rsidRDefault="00000000">
      <w:pPr>
        <w:pStyle w:val="Heading3"/>
      </w:pPr>
      <w:r>
        <w:t>5.2.1 Rates implementation robustness</w:t>
      </w:r>
    </w:p>
    <w:p w14:paraId="063CCDD0" w14:textId="77777777" w:rsidR="004668C3" w:rsidRDefault="00000000">
      <w:pPr>
        <w:spacing w:after="100"/>
      </w:pPr>
      <w:r>
        <w:t>For the 2Y and 10Y expressions, Module C should explicitly compare the preferred futures implementation with the constant-maturity synthetic construction where both are available. It should also report the primary calendar/Friday-aligned futures roll against the pre-specified liquidity-migration roll. A material ranking change across these reasonable implementations is an implementation finding that must be explained, not averaged away.</w:t>
      </w:r>
    </w:p>
    <w:p w14:paraId="65B04B26" w14:textId="77777777" w:rsidR="004668C3" w:rsidRDefault="00000000">
      <w:pPr>
        <w:pStyle w:val="Heading2"/>
      </w:pPr>
      <w:r>
        <w:rPr>
          <w:rFonts w:ascii="Aptos" w:eastAsia="Aptos" w:hAnsi="Aptos"/>
          <w:b w:val="0"/>
        </w:rPr>
        <w:t>5.3 How conclusions should be framed</w:t>
      </w:r>
    </w:p>
    <w:p w14:paraId="373FDF8D" w14:textId="77777777" w:rsidR="004668C3" w:rsidRDefault="00000000">
      <w:pPr>
        <w:spacing w:after="100"/>
      </w:pPr>
      <w:r>
        <w:t>The expected final answer is conditional rather than “one asset always wins.” A credible conclusion could be: 2Y rates transmit identified Target and Path shocks most directly; the one-month forward is more useful for slower multiweek divergence and includes carry; 10Y and curve expressions add information but are more regime-dependent; and an equal-risk basket sacrifices some peak performance for improved drawdown and stability. These are hypotheses to test, not conclusions to force.</w:t>
      </w:r>
    </w:p>
    <w:tbl>
      <w:tblPr>
        <w:tblW w:w="0" w:type="auto"/>
        <w:jc w:val="center"/>
        <w:tblLook w:val="04A0" w:firstRow="1" w:lastRow="0" w:firstColumn="1" w:lastColumn="0" w:noHBand="0" w:noVBand="1"/>
      </w:tblPr>
      <w:tblGrid>
        <w:gridCol w:w="10166"/>
      </w:tblGrid>
      <w:tr w:rsidR="004668C3" w14:paraId="1AE78166" w14:textId="77777777">
        <w:trPr>
          <w:cantSplit/>
          <w:jc w:val="center"/>
        </w:trPr>
        <w:tc>
          <w:tcPr>
            <w:tcW w:w="10166" w:type="dxa"/>
            <w:shd w:val="clear" w:color="auto" w:fill="E7F2F3"/>
            <w:tcMar>
              <w:top w:w="130" w:type="dxa"/>
              <w:left w:w="170" w:type="dxa"/>
              <w:bottom w:w="130" w:type="dxa"/>
              <w:right w:w="170" w:type="dxa"/>
            </w:tcMar>
          </w:tcPr>
          <w:p w14:paraId="286FE988" w14:textId="77777777" w:rsidR="004668C3" w:rsidRDefault="00000000">
            <w:pPr>
              <w:spacing w:after="60"/>
            </w:pPr>
            <w:r>
              <w:rPr>
                <w:b/>
                <w:color w:val="0F6B78"/>
                <w:sz w:val="21"/>
              </w:rPr>
              <w:t>Module C is where the basket belongs</w:t>
            </w:r>
          </w:p>
          <w:p w14:paraId="685EE0EB" w14:textId="77777777" w:rsidR="004668C3" w:rsidRDefault="00000000">
            <w:pPr>
              <w:spacing w:after="0"/>
            </w:pPr>
            <w:r>
              <w:t>The basket should be built only after the standalone expressions are validated. Begin with the one-month forward and 2Y spread; add 10Y or curve exposure only if it contributes a distinct, defensible source of information or diversification.</w:t>
            </w:r>
          </w:p>
        </w:tc>
      </w:tr>
    </w:tbl>
    <w:p w14:paraId="3E5BDA5B" w14:textId="77777777" w:rsidR="004668C3" w:rsidRDefault="004668C3">
      <w:pPr>
        <w:spacing w:after="100"/>
      </w:pPr>
    </w:p>
    <w:p w14:paraId="64D4A6A7" w14:textId="77777777" w:rsidR="004668C3" w:rsidRDefault="00000000">
      <w:pPr>
        <w:pStyle w:val="Heading1"/>
      </w:pPr>
      <w:r>
        <w:rPr>
          <w:rFonts w:ascii="Aptos" w:eastAsia="Aptos" w:hAnsi="Aptos"/>
          <w:b w:val="0"/>
        </w:rPr>
        <w:t>6. Are the benchmarks the same for every module?</w:t>
      </w:r>
    </w:p>
    <w:p w14:paraId="4D0A4D74" w14:textId="77777777" w:rsidR="004668C3" w:rsidRDefault="00000000">
      <w:pPr>
        <w:spacing w:after="100"/>
      </w:pPr>
      <w:r>
        <w:t>No. Some benchmarks are universal, while others are tied to the economic structure of a specific module or expression. Using every benchmark everywhere would create clutter without improving identification.</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2880"/>
        <w:gridCol w:w="2376"/>
        <w:gridCol w:w="2520"/>
        <w:gridCol w:w="2880"/>
      </w:tblGrid>
      <w:tr w:rsidR="004668C3" w14:paraId="15494B97" w14:textId="77777777">
        <w:trPr>
          <w:cantSplit/>
          <w:tblHeader/>
          <w:jc w:val="center"/>
        </w:trPr>
        <w:tc>
          <w:tcPr>
            <w:tcW w:w="2880" w:type="dxa"/>
            <w:shd w:val="clear" w:color="auto" w:fill="17365D"/>
            <w:tcMar>
              <w:top w:w="90" w:type="dxa"/>
              <w:left w:w="110" w:type="dxa"/>
              <w:bottom w:w="90" w:type="dxa"/>
              <w:right w:w="110" w:type="dxa"/>
            </w:tcMar>
            <w:vAlign w:val="center"/>
          </w:tcPr>
          <w:p w14:paraId="1F4A2D7D" w14:textId="77777777" w:rsidR="004668C3" w:rsidRDefault="00000000">
            <w:r>
              <w:rPr>
                <w:b/>
                <w:color w:val="FFFFFF"/>
                <w:sz w:val="16"/>
              </w:rPr>
              <w:t>Benchmark</w:t>
            </w:r>
          </w:p>
        </w:tc>
        <w:tc>
          <w:tcPr>
            <w:tcW w:w="2376" w:type="dxa"/>
            <w:shd w:val="clear" w:color="auto" w:fill="17365D"/>
            <w:tcMar>
              <w:top w:w="90" w:type="dxa"/>
              <w:left w:w="110" w:type="dxa"/>
              <w:bottom w:w="90" w:type="dxa"/>
              <w:right w:w="110" w:type="dxa"/>
            </w:tcMar>
            <w:vAlign w:val="center"/>
          </w:tcPr>
          <w:p w14:paraId="7BBFDFC9" w14:textId="77777777" w:rsidR="004668C3" w:rsidRDefault="00000000">
            <w:r>
              <w:rPr>
                <w:b/>
                <w:color w:val="FFFFFF"/>
                <w:sz w:val="16"/>
              </w:rPr>
              <w:t>Module A</w:t>
            </w:r>
          </w:p>
        </w:tc>
        <w:tc>
          <w:tcPr>
            <w:tcW w:w="2520" w:type="dxa"/>
            <w:shd w:val="clear" w:color="auto" w:fill="17365D"/>
            <w:tcMar>
              <w:top w:w="90" w:type="dxa"/>
              <w:left w:w="110" w:type="dxa"/>
              <w:bottom w:w="90" w:type="dxa"/>
              <w:right w:w="110" w:type="dxa"/>
            </w:tcMar>
            <w:vAlign w:val="center"/>
          </w:tcPr>
          <w:p w14:paraId="0AF917E3" w14:textId="77777777" w:rsidR="004668C3" w:rsidRDefault="00000000">
            <w:r>
              <w:rPr>
                <w:b/>
                <w:color w:val="FFFFFF"/>
                <w:sz w:val="16"/>
              </w:rPr>
              <w:t>Module B</w:t>
            </w:r>
          </w:p>
        </w:tc>
        <w:tc>
          <w:tcPr>
            <w:tcW w:w="2880" w:type="dxa"/>
            <w:shd w:val="clear" w:color="auto" w:fill="17365D"/>
            <w:tcMar>
              <w:top w:w="90" w:type="dxa"/>
              <w:left w:w="110" w:type="dxa"/>
              <w:bottom w:w="90" w:type="dxa"/>
              <w:right w:w="110" w:type="dxa"/>
            </w:tcMar>
            <w:vAlign w:val="center"/>
          </w:tcPr>
          <w:p w14:paraId="1116084E" w14:textId="77777777" w:rsidR="004668C3" w:rsidRDefault="00000000">
            <w:r>
              <w:rPr>
                <w:b/>
                <w:color w:val="FFFFFF"/>
                <w:sz w:val="16"/>
              </w:rPr>
              <w:t>Module C</w:t>
            </w:r>
          </w:p>
        </w:tc>
      </w:tr>
      <w:tr w:rsidR="004668C3" w14:paraId="6413FBB7" w14:textId="77777777">
        <w:trPr>
          <w:cantSplit/>
          <w:jc w:val="center"/>
        </w:trPr>
        <w:tc>
          <w:tcPr>
            <w:tcW w:w="2880" w:type="dxa"/>
            <w:tcMar>
              <w:top w:w="90" w:type="dxa"/>
              <w:left w:w="110" w:type="dxa"/>
              <w:bottom w:w="90" w:type="dxa"/>
              <w:right w:w="110" w:type="dxa"/>
            </w:tcMar>
          </w:tcPr>
          <w:p w14:paraId="37E59CA0" w14:textId="77777777" w:rsidR="004668C3" w:rsidRDefault="00000000">
            <w:pPr>
              <w:spacing w:after="0"/>
            </w:pPr>
            <w:r>
              <w:rPr>
                <w:sz w:val="16"/>
              </w:rPr>
              <w:t>No position</w:t>
            </w:r>
          </w:p>
        </w:tc>
        <w:tc>
          <w:tcPr>
            <w:tcW w:w="2376" w:type="dxa"/>
            <w:tcMar>
              <w:top w:w="90" w:type="dxa"/>
              <w:left w:w="110" w:type="dxa"/>
              <w:bottom w:w="90" w:type="dxa"/>
              <w:right w:w="110" w:type="dxa"/>
            </w:tcMar>
          </w:tcPr>
          <w:p w14:paraId="7EB66583" w14:textId="77777777" w:rsidR="004668C3" w:rsidRDefault="00000000">
            <w:pPr>
              <w:spacing w:after="0"/>
            </w:pPr>
            <w:r>
              <w:rPr>
                <w:sz w:val="16"/>
              </w:rPr>
              <w:t>Yes — core</w:t>
            </w:r>
          </w:p>
        </w:tc>
        <w:tc>
          <w:tcPr>
            <w:tcW w:w="2520" w:type="dxa"/>
            <w:tcMar>
              <w:top w:w="90" w:type="dxa"/>
              <w:left w:w="110" w:type="dxa"/>
              <w:bottom w:w="90" w:type="dxa"/>
              <w:right w:w="110" w:type="dxa"/>
            </w:tcMar>
          </w:tcPr>
          <w:p w14:paraId="3661460E" w14:textId="77777777" w:rsidR="004668C3" w:rsidRDefault="00000000">
            <w:pPr>
              <w:spacing w:after="0"/>
            </w:pPr>
            <w:r>
              <w:rPr>
                <w:sz w:val="16"/>
              </w:rPr>
              <w:t>Yes — core for post-event trading</w:t>
            </w:r>
          </w:p>
        </w:tc>
        <w:tc>
          <w:tcPr>
            <w:tcW w:w="2880" w:type="dxa"/>
            <w:tcMar>
              <w:top w:w="90" w:type="dxa"/>
              <w:left w:w="110" w:type="dxa"/>
              <w:bottom w:w="90" w:type="dxa"/>
              <w:right w:w="110" w:type="dxa"/>
            </w:tcMar>
          </w:tcPr>
          <w:p w14:paraId="4CC95D7A" w14:textId="77777777" w:rsidR="004668C3" w:rsidRDefault="00000000">
            <w:pPr>
              <w:spacing w:after="0"/>
            </w:pPr>
            <w:r>
              <w:rPr>
                <w:sz w:val="16"/>
              </w:rPr>
              <w:t>Used as reference</w:t>
            </w:r>
          </w:p>
        </w:tc>
      </w:tr>
      <w:tr w:rsidR="004668C3" w14:paraId="63A48849" w14:textId="77777777">
        <w:trPr>
          <w:cantSplit/>
          <w:jc w:val="center"/>
        </w:trPr>
        <w:tc>
          <w:tcPr>
            <w:tcW w:w="2880" w:type="dxa"/>
            <w:shd w:val="clear" w:color="auto" w:fill="EEF4FA"/>
            <w:tcMar>
              <w:top w:w="90" w:type="dxa"/>
              <w:left w:w="110" w:type="dxa"/>
              <w:bottom w:w="90" w:type="dxa"/>
              <w:right w:w="110" w:type="dxa"/>
            </w:tcMar>
          </w:tcPr>
          <w:p w14:paraId="6DAC98FC" w14:textId="77777777" w:rsidR="004668C3" w:rsidRDefault="00000000">
            <w:pPr>
              <w:spacing w:after="0"/>
            </w:pPr>
            <w:r>
              <w:rPr>
                <w:sz w:val="16"/>
              </w:rPr>
              <w:t>Constant direction</w:t>
            </w:r>
          </w:p>
        </w:tc>
        <w:tc>
          <w:tcPr>
            <w:tcW w:w="2376" w:type="dxa"/>
            <w:shd w:val="clear" w:color="auto" w:fill="EEF4FA"/>
            <w:tcMar>
              <w:top w:w="90" w:type="dxa"/>
              <w:left w:w="110" w:type="dxa"/>
              <w:bottom w:w="90" w:type="dxa"/>
              <w:right w:w="110" w:type="dxa"/>
            </w:tcMar>
          </w:tcPr>
          <w:p w14:paraId="1175DEE8" w14:textId="77777777" w:rsidR="004668C3" w:rsidRDefault="00000000">
            <w:pPr>
              <w:spacing w:after="0"/>
            </w:pPr>
            <w:r>
              <w:rPr>
                <w:sz w:val="16"/>
              </w:rPr>
              <w:t>Yes — core where relevant</w:t>
            </w:r>
          </w:p>
        </w:tc>
        <w:tc>
          <w:tcPr>
            <w:tcW w:w="2520" w:type="dxa"/>
            <w:shd w:val="clear" w:color="auto" w:fill="EEF4FA"/>
            <w:tcMar>
              <w:top w:w="90" w:type="dxa"/>
              <w:left w:w="110" w:type="dxa"/>
              <w:bottom w:w="90" w:type="dxa"/>
              <w:right w:w="110" w:type="dxa"/>
            </w:tcMar>
          </w:tcPr>
          <w:p w14:paraId="71F51836" w14:textId="77777777" w:rsidR="004668C3" w:rsidRDefault="00000000">
            <w:pPr>
              <w:spacing w:after="0"/>
            </w:pPr>
            <w:r>
              <w:rPr>
                <w:sz w:val="16"/>
              </w:rPr>
              <w:t>Yes — around all events</w:t>
            </w:r>
          </w:p>
        </w:tc>
        <w:tc>
          <w:tcPr>
            <w:tcW w:w="2880" w:type="dxa"/>
            <w:shd w:val="clear" w:color="auto" w:fill="EEF4FA"/>
            <w:tcMar>
              <w:top w:w="90" w:type="dxa"/>
              <w:left w:w="110" w:type="dxa"/>
              <w:bottom w:w="90" w:type="dxa"/>
              <w:right w:w="110" w:type="dxa"/>
            </w:tcMar>
          </w:tcPr>
          <w:p w14:paraId="62AEB6B7" w14:textId="77777777" w:rsidR="004668C3" w:rsidRDefault="00000000">
            <w:pPr>
              <w:spacing w:after="0"/>
            </w:pPr>
            <w:r>
              <w:rPr>
                <w:sz w:val="16"/>
              </w:rPr>
              <w:t>Compared and attributed</w:t>
            </w:r>
          </w:p>
        </w:tc>
      </w:tr>
      <w:tr w:rsidR="004668C3" w14:paraId="17B28017" w14:textId="77777777">
        <w:trPr>
          <w:cantSplit/>
          <w:jc w:val="center"/>
        </w:trPr>
        <w:tc>
          <w:tcPr>
            <w:tcW w:w="2880" w:type="dxa"/>
            <w:tcMar>
              <w:top w:w="90" w:type="dxa"/>
              <w:left w:w="110" w:type="dxa"/>
              <w:bottom w:w="90" w:type="dxa"/>
              <w:right w:w="110" w:type="dxa"/>
            </w:tcMar>
          </w:tcPr>
          <w:p w14:paraId="3A0D3163" w14:textId="77777777" w:rsidR="004668C3" w:rsidRDefault="00000000">
            <w:pPr>
              <w:spacing w:after="0"/>
            </w:pPr>
            <w:r>
              <w:rPr>
                <w:sz w:val="16"/>
              </w:rPr>
              <w:t>Carry-only FX</w:t>
            </w:r>
          </w:p>
        </w:tc>
        <w:tc>
          <w:tcPr>
            <w:tcW w:w="2376" w:type="dxa"/>
            <w:tcMar>
              <w:top w:w="90" w:type="dxa"/>
              <w:left w:w="110" w:type="dxa"/>
              <w:bottom w:w="90" w:type="dxa"/>
              <w:right w:w="110" w:type="dxa"/>
            </w:tcMar>
          </w:tcPr>
          <w:p w14:paraId="272C66C7" w14:textId="77777777" w:rsidR="004668C3" w:rsidRDefault="00000000">
            <w:pPr>
              <w:spacing w:after="0"/>
            </w:pPr>
            <w:r>
              <w:rPr>
                <w:sz w:val="16"/>
              </w:rPr>
              <w:t>Yes — core FX benchmark</w:t>
            </w:r>
          </w:p>
        </w:tc>
        <w:tc>
          <w:tcPr>
            <w:tcW w:w="2520" w:type="dxa"/>
            <w:tcMar>
              <w:top w:w="90" w:type="dxa"/>
              <w:left w:w="110" w:type="dxa"/>
              <w:bottom w:w="90" w:type="dxa"/>
              <w:right w:w="110" w:type="dxa"/>
            </w:tcMar>
          </w:tcPr>
          <w:p w14:paraId="6D6FA287" w14:textId="77777777" w:rsidR="004668C3" w:rsidRDefault="00000000">
            <w:pPr>
              <w:spacing w:after="0"/>
            </w:pPr>
            <w:r>
              <w:rPr>
                <w:sz w:val="16"/>
              </w:rPr>
              <w:t>Optional control</w:t>
            </w:r>
          </w:p>
        </w:tc>
        <w:tc>
          <w:tcPr>
            <w:tcW w:w="2880" w:type="dxa"/>
            <w:tcMar>
              <w:top w:w="90" w:type="dxa"/>
              <w:left w:w="110" w:type="dxa"/>
              <w:bottom w:w="90" w:type="dxa"/>
              <w:right w:w="110" w:type="dxa"/>
            </w:tcMar>
          </w:tcPr>
          <w:p w14:paraId="6EBB04C2" w14:textId="77777777" w:rsidR="004668C3" w:rsidRDefault="00000000">
            <w:pPr>
              <w:spacing w:after="0"/>
            </w:pPr>
            <w:r>
              <w:rPr>
                <w:sz w:val="16"/>
              </w:rPr>
              <w:t>Explains FX differences</w:t>
            </w:r>
          </w:p>
        </w:tc>
      </w:tr>
      <w:tr w:rsidR="004668C3" w14:paraId="444843B1" w14:textId="77777777">
        <w:trPr>
          <w:cantSplit/>
          <w:jc w:val="center"/>
        </w:trPr>
        <w:tc>
          <w:tcPr>
            <w:tcW w:w="2880" w:type="dxa"/>
            <w:shd w:val="clear" w:color="auto" w:fill="EEF4FA"/>
            <w:tcMar>
              <w:top w:w="90" w:type="dxa"/>
              <w:left w:w="110" w:type="dxa"/>
              <w:bottom w:w="90" w:type="dxa"/>
              <w:right w:w="110" w:type="dxa"/>
            </w:tcMar>
          </w:tcPr>
          <w:p w14:paraId="35E89E57" w14:textId="77777777" w:rsidR="004668C3" w:rsidRDefault="00000000">
            <w:pPr>
              <w:spacing w:after="0"/>
            </w:pPr>
            <w:r>
              <w:rPr>
                <w:sz w:val="16"/>
              </w:rPr>
              <w:lastRenderedPageBreak/>
              <w:t>Trend-only</w:t>
            </w:r>
          </w:p>
        </w:tc>
        <w:tc>
          <w:tcPr>
            <w:tcW w:w="2376" w:type="dxa"/>
            <w:shd w:val="clear" w:color="auto" w:fill="EEF4FA"/>
            <w:tcMar>
              <w:top w:w="90" w:type="dxa"/>
              <w:left w:w="110" w:type="dxa"/>
              <w:bottom w:w="90" w:type="dxa"/>
              <w:right w:w="110" w:type="dxa"/>
            </w:tcMar>
          </w:tcPr>
          <w:p w14:paraId="380F3AFC" w14:textId="77777777" w:rsidR="004668C3" w:rsidRDefault="00000000">
            <w:pPr>
              <w:spacing w:after="0"/>
            </w:pPr>
            <w:r>
              <w:rPr>
                <w:sz w:val="16"/>
              </w:rPr>
              <w:t>Yes — core/robustness</w:t>
            </w:r>
          </w:p>
        </w:tc>
        <w:tc>
          <w:tcPr>
            <w:tcW w:w="2520" w:type="dxa"/>
            <w:shd w:val="clear" w:color="auto" w:fill="EEF4FA"/>
            <w:tcMar>
              <w:top w:w="90" w:type="dxa"/>
              <w:left w:w="110" w:type="dxa"/>
              <w:bottom w:w="90" w:type="dxa"/>
              <w:right w:w="110" w:type="dxa"/>
            </w:tcMar>
          </w:tcPr>
          <w:p w14:paraId="3B56A50C" w14:textId="77777777" w:rsidR="004668C3" w:rsidRDefault="00000000">
            <w:pPr>
              <w:spacing w:after="0"/>
            </w:pPr>
            <w:r>
              <w:rPr>
                <w:sz w:val="16"/>
              </w:rPr>
              <w:t>Optional control</w:t>
            </w:r>
          </w:p>
        </w:tc>
        <w:tc>
          <w:tcPr>
            <w:tcW w:w="2880" w:type="dxa"/>
            <w:shd w:val="clear" w:color="auto" w:fill="EEF4FA"/>
            <w:tcMar>
              <w:top w:w="90" w:type="dxa"/>
              <w:left w:w="110" w:type="dxa"/>
              <w:bottom w:w="90" w:type="dxa"/>
              <w:right w:w="110" w:type="dxa"/>
            </w:tcMar>
          </w:tcPr>
          <w:p w14:paraId="06068C7D" w14:textId="77777777" w:rsidR="004668C3" w:rsidRDefault="00000000">
            <w:pPr>
              <w:spacing w:after="0"/>
            </w:pPr>
            <w:r>
              <w:rPr>
                <w:sz w:val="16"/>
              </w:rPr>
              <w:t>Assesses whether policy signal adds beyond trend</w:t>
            </w:r>
          </w:p>
        </w:tc>
      </w:tr>
      <w:tr w:rsidR="004668C3" w14:paraId="0E38E624" w14:textId="77777777">
        <w:trPr>
          <w:cantSplit/>
          <w:jc w:val="center"/>
        </w:trPr>
        <w:tc>
          <w:tcPr>
            <w:tcW w:w="2880" w:type="dxa"/>
            <w:tcMar>
              <w:top w:w="90" w:type="dxa"/>
              <w:left w:w="110" w:type="dxa"/>
              <w:bottom w:w="90" w:type="dxa"/>
              <w:right w:w="110" w:type="dxa"/>
            </w:tcMar>
          </w:tcPr>
          <w:p w14:paraId="2359C48E" w14:textId="77777777" w:rsidR="004668C3" w:rsidRDefault="00000000">
            <w:pPr>
              <w:spacing w:after="0"/>
            </w:pPr>
            <w:r>
              <w:rPr>
                <w:sz w:val="16"/>
              </w:rPr>
              <w:t>Rate-level-only</w:t>
            </w:r>
          </w:p>
        </w:tc>
        <w:tc>
          <w:tcPr>
            <w:tcW w:w="2376" w:type="dxa"/>
            <w:tcMar>
              <w:top w:w="90" w:type="dxa"/>
              <w:left w:w="110" w:type="dxa"/>
              <w:bottom w:w="90" w:type="dxa"/>
              <w:right w:w="110" w:type="dxa"/>
            </w:tcMar>
          </w:tcPr>
          <w:p w14:paraId="45D63A9A" w14:textId="77777777" w:rsidR="004668C3" w:rsidRDefault="00000000">
            <w:pPr>
              <w:spacing w:after="0"/>
            </w:pPr>
            <w:r>
              <w:rPr>
                <w:sz w:val="16"/>
              </w:rPr>
              <w:t>Yes — core simple competitor</w:t>
            </w:r>
          </w:p>
        </w:tc>
        <w:tc>
          <w:tcPr>
            <w:tcW w:w="2520" w:type="dxa"/>
            <w:tcMar>
              <w:top w:w="90" w:type="dxa"/>
              <w:left w:w="110" w:type="dxa"/>
              <w:bottom w:w="90" w:type="dxa"/>
              <w:right w:w="110" w:type="dxa"/>
            </w:tcMar>
          </w:tcPr>
          <w:p w14:paraId="4692F691" w14:textId="77777777" w:rsidR="004668C3" w:rsidRDefault="00000000">
            <w:pPr>
              <w:spacing w:after="0"/>
            </w:pPr>
            <w:r>
              <w:rPr>
                <w:sz w:val="16"/>
              </w:rPr>
              <w:t>Usually not central</w:t>
            </w:r>
          </w:p>
        </w:tc>
        <w:tc>
          <w:tcPr>
            <w:tcW w:w="2880" w:type="dxa"/>
            <w:tcMar>
              <w:top w:w="90" w:type="dxa"/>
              <w:left w:w="110" w:type="dxa"/>
              <w:bottom w:w="90" w:type="dxa"/>
              <w:right w:w="110" w:type="dxa"/>
            </w:tcMar>
          </w:tcPr>
          <w:p w14:paraId="0F0A039A" w14:textId="77777777" w:rsidR="004668C3" w:rsidRDefault="00000000">
            <w:pPr>
              <w:spacing w:after="0"/>
            </w:pPr>
            <w:r>
              <w:rPr>
                <w:sz w:val="16"/>
              </w:rPr>
              <w:t>Explains level versus surprise/repricing skill</w:t>
            </w:r>
          </w:p>
        </w:tc>
      </w:tr>
      <w:tr w:rsidR="004668C3" w14:paraId="05E61A5B" w14:textId="77777777">
        <w:trPr>
          <w:cantSplit/>
          <w:jc w:val="center"/>
        </w:trPr>
        <w:tc>
          <w:tcPr>
            <w:tcW w:w="2880" w:type="dxa"/>
            <w:shd w:val="clear" w:color="auto" w:fill="EEF4FA"/>
            <w:tcMar>
              <w:top w:w="90" w:type="dxa"/>
              <w:left w:w="110" w:type="dxa"/>
              <w:bottom w:w="90" w:type="dxa"/>
              <w:right w:w="110" w:type="dxa"/>
            </w:tcMar>
          </w:tcPr>
          <w:p w14:paraId="37E1B996" w14:textId="77777777" w:rsidR="004668C3" w:rsidRDefault="00000000">
            <w:pPr>
              <w:spacing w:after="0"/>
            </w:pPr>
            <w:r>
              <w:rPr>
                <w:sz w:val="16"/>
              </w:rPr>
              <w:t>Non-event control days</w:t>
            </w:r>
          </w:p>
        </w:tc>
        <w:tc>
          <w:tcPr>
            <w:tcW w:w="2376" w:type="dxa"/>
            <w:shd w:val="clear" w:color="auto" w:fill="EEF4FA"/>
            <w:tcMar>
              <w:top w:w="90" w:type="dxa"/>
              <w:left w:w="110" w:type="dxa"/>
              <w:bottom w:w="90" w:type="dxa"/>
              <w:right w:w="110" w:type="dxa"/>
            </w:tcMar>
          </w:tcPr>
          <w:p w14:paraId="69998668" w14:textId="77777777" w:rsidR="004668C3" w:rsidRDefault="00000000">
            <w:pPr>
              <w:spacing w:after="0"/>
            </w:pPr>
            <w:r>
              <w:rPr>
                <w:sz w:val="16"/>
              </w:rPr>
              <w:t>Not central</w:t>
            </w:r>
          </w:p>
        </w:tc>
        <w:tc>
          <w:tcPr>
            <w:tcW w:w="2520" w:type="dxa"/>
            <w:shd w:val="clear" w:color="auto" w:fill="EEF4FA"/>
            <w:tcMar>
              <w:top w:w="90" w:type="dxa"/>
              <w:left w:w="110" w:type="dxa"/>
              <w:bottom w:w="90" w:type="dxa"/>
              <w:right w:w="110" w:type="dxa"/>
            </w:tcMar>
          </w:tcPr>
          <w:p w14:paraId="41C63898" w14:textId="77777777" w:rsidR="004668C3" w:rsidRDefault="00000000">
            <w:pPr>
              <w:spacing w:after="0"/>
            </w:pPr>
            <w:r>
              <w:rPr>
                <w:sz w:val="16"/>
              </w:rPr>
              <w:t>Core diagnostic</w:t>
            </w:r>
          </w:p>
        </w:tc>
        <w:tc>
          <w:tcPr>
            <w:tcW w:w="2880" w:type="dxa"/>
            <w:shd w:val="clear" w:color="auto" w:fill="EEF4FA"/>
            <w:tcMar>
              <w:top w:w="90" w:type="dxa"/>
              <w:left w:w="110" w:type="dxa"/>
              <w:bottom w:w="90" w:type="dxa"/>
              <w:right w:w="110" w:type="dxa"/>
            </w:tcMar>
          </w:tcPr>
          <w:p w14:paraId="6C75FFE0" w14:textId="77777777" w:rsidR="004668C3" w:rsidRDefault="00000000">
            <w:pPr>
              <w:spacing w:after="0"/>
            </w:pPr>
            <w:r>
              <w:rPr>
                <w:sz w:val="16"/>
              </w:rPr>
              <w:t>Event/non-event attribution</w:t>
            </w:r>
          </w:p>
        </w:tc>
      </w:tr>
      <w:tr w:rsidR="004668C3" w14:paraId="3D80B023" w14:textId="77777777">
        <w:trPr>
          <w:cantSplit/>
          <w:jc w:val="center"/>
        </w:trPr>
        <w:tc>
          <w:tcPr>
            <w:tcW w:w="2880" w:type="dxa"/>
            <w:tcMar>
              <w:top w:w="90" w:type="dxa"/>
              <w:left w:w="110" w:type="dxa"/>
              <w:bottom w:w="90" w:type="dxa"/>
              <w:right w:w="110" w:type="dxa"/>
            </w:tcMar>
          </w:tcPr>
          <w:p w14:paraId="678DD0C6" w14:textId="77777777" w:rsidR="004668C3" w:rsidRDefault="00000000">
            <w:pPr>
              <w:spacing w:after="0"/>
            </w:pPr>
            <w:r>
              <w:rPr>
                <w:sz w:val="16"/>
              </w:rPr>
              <w:t>Sign-only vs magnitude-scaled</w:t>
            </w:r>
          </w:p>
        </w:tc>
        <w:tc>
          <w:tcPr>
            <w:tcW w:w="2376" w:type="dxa"/>
            <w:tcMar>
              <w:top w:w="90" w:type="dxa"/>
              <w:left w:w="110" w:type="dxa"/>
              <w:bottom w:w="90" w:type="dxa"/>
              <w:right w:w="110" w:type="dxa"/>
            </w:tcMar>
          </w:tcPr>
          <w:p w14:paraId="468F3337" w14:textId="77777777" w:rsidR="004668C3" w:rsidRDefault="00000000">
            <w:pPr>
              <w:spacing w:after="0"/>
            </w:pPr>
            <w:r>
              <w:rPr>
                <w:sz w:val="16"/>
              </w:rPr>
              <w:t>Optional for continuous signal</w:t>
            </w:r>
          </w:p>
        </w:tc>
        <w:tc>
          <w:tcPr>
            <w:tcW w:w="2520" w:type="dxa"/>
            <w:tcMar>
              <w:top w:w="90" w:type="dxa"/>
              <w:left w:w="110" w:type="dxa"/>
              <w:bottom w:w="90" w:type="dxa"/>
              <w:right w:w="110" w:type="dxa"/>
            </w:tcMar>
          </w:tcPr>
          <w:p w14:paraId="7EACA569" w14:textId="77777777" w:rsidR="004668C3" w:rsidRDefault="00000000">
            <w:pPr>
              <w:spacing w:after="0"/>
            </w:pPr>
            <w:r>
              <w:rPr>
                <w:sz w:val="16"/>
              </w:rPr>
              <w:t>Core event implementation check</w:t>
            </w:r>
          </w:p>
        </w:tc>
        <w:tc>
          <w:tcPr>
            <w:tcW w:w="2880" w:type="dxa"/>
            <w:tcMar>
              <w:top w:w="90" w:type="dxa"/>
              <w:left w:w="110" w:type="dxa"/>
              <w:bottom w:w="90" w:type="dxa"/>
              <w:right w:w="110" w:type="dxa"/>
            </w:tcMar>
          </w:tcPr>
          <w:p w14:paraId="4052A495" w14:textId="77777777" w:rsidR="004668C3" w:rsidRDefault="00000000">
            <w:pPr>
              <w:spacing w:after="0"/>
            </w:pPr>
            <w:r>
              <w:rPr>
                <w:sz w:val="16"/>
              </w:rPr>
              <w:t>Compares robustness</w:t>
            </w:r>
          </w:p>
        </w:tc>
      </w:tr>
      <w:tr w:rsidR="004668C3" w14:paraId="5B7F73DD" w14:textId="77777777">
        <w:trPr>
          <w:cantSplit/>
          <w:jc w:val="center"/>
        </w:trPr>
        <w:tc>
          <w:tcPr>
            <w:tcW w:w="2880" w:type="dxa"/>
            <w:shd w:val="clear" w:color="auto" w:fill="EEF4FA"/>
            <w:tcMar>
              <w:top w:w="90" w:type="dxa"/>
              <w:left w:w="110" w:type="dxa"/>
              <w:bottom w:w="90" w:type="dxa"/>
              <w:right w:w="110" w:type="dxa"/>
            </w:tcMar>
          </w:tcPr>
          <w:p w14:paraId="0CF1F78C" w14:textId="77777777" w:rsidR="004668C3" w:rsidRDefault="00000000">
            <w:pPr>
              <w:spacing w:after="0"/>
            </w:pPr>
            <w:r>
              <w:rPr>
                <w:sz w:val="16"/>
              </w:rPr>
              <w:t>Unscaled vs vol-targeted</w:t>
            </w:r>
          </w:p>
        </w:tc>
        <w:tc>
          <w:tcPr>
            <w:tcW w:w="2376" w:type="dxa"/>
            <w:shd w:val="clear" w:color="auto" w:fill="EEF4FA"/>
            <w:tcMar>
              <w:top w:w="90" w:type="dxa"/>
              <w:left w:w="110" w:type="dxa"/>
              <w:bottom w:w="90" w:type="dxa"/>
              <w:right w:w="110" w:type="dxa"/>
            </w:tcMar>
          </w:tcPr>
          <w:p w14:paraId="39B27E9E" w14:textId="77777777" w:rsidR="004668C3" w:rsidRDefault="00000000">
            <w:pPr>
              <w:spacing w:after="0"/>
            </w:pPr>
            <w:r>
              <w:rPr>
                <w:sz w:val="16"/>
              </w:rPr>
              <w:t>Core</w:t>
            </w:r>
          </w:p>
        </w:tc>
        <w:tc>
          <w:tcPr>
            <w:tcW w:w="2520" w:type="dxa"/>
            <w:shd w:val="clear" w:color="auto" w:fill="EEF4FA"/>
            <w:tcMar>
              <w:top w:w="90" w:type="dxa"/>
              <w:left w:w="110" w:type="dxa"/>
              <w:bottom w:w="90" w:type="dxa"/>
              <w:right w:w="110" w:type="dxa"/>
            </w:tcMar>
          </w:tcPr>
          <w:p w14:paraId="0FB03530" w14:textId="77777777" w:rsidR="004668C3" w:rsidRDefault="00000000">
            <w:pPr>
              <w:spacing w:after="0"/>
            </w:pPr>
            <w:r>
              <w:rPr>
                <w:sz w:val="16"/>
              </w:rPr>
              <w:t>Core</w:t>
            </w:r>
          </w:p>
        </w:tc>
        <w:tc>
          <w:tcPr>
            <w:tcW w:w="2880" w:type="dxa"/>
            <w:shd w:val="clear" w:color="auto" w:fill="EEF4FA"/>
            <w:tcMar>
              <w:top w:w="90" w:type="dxa"/>
              <w:left w:w="110" w:type="dxa"/>
              <w:bottom w:w="90" w:type="dxa"/>
              <w:right w:w="110" w:type="dxa"/>
            </w:tcMar>
          </w:tcPr>
          <w:p w14:paraId="75F53858" w14:textId="77777777" w:rsidR="004668C3" w:rsidRDefault="00000000">
            <w:pPr>
              <w:spacing w:after="0"/>
            </w:pPr>
            <w:r>
              <w:rPr>
                <w:sz w:val="16"/>
              </w:rPr>
              <w:t>Attributes scaling effect</w:t>
            </w:r>
          </w:p>
        </w:tc>
      </w:tr>
      <w:tr w:rsidR="004668C3" w14:paraId="50148218" w14:textId="77777777">
        <w:trPr>
          <w:cantSplit/>
          <w:jc w:val="center"/>
        </w:trPr>
        <w:tc>
          <w:tcPr>
            <w:tcW w:w="2880" w:type="dxa"/>
            <w:tcMar>
              <w:top w:w="90" w:type="dxa"/>
              <w:left w:w="110" w:type="dxa"/>
              <w:bottom w:w="90" w:type="dxa"/>
              <w:right w:w="110" w:type="dxa"/>
            </w:tcMar>
          </w:tcPr>
          <w:p w14:paraId="438CD4B4" w14:textId="77777777" w:rsidR="004668C3" w:rsidRDefault="00000000">
            <w:pPr>
              <w:spacing w:after="0"/>
            </w:pPr>
            <w:r>
              <w:rPr>
                <w:sz w:val="16"/>
              </w:rPr>
              <w:t>Equal weight vs equal risk</w:t>
            </w:r>
          </w:p>
        </w:tc>
        <w:tc>
          <w:tcPr>
            <w:tcW w:w="2376" w:type="dxa"/>
            <w:tcMar>
              <w:top w:w="90" w:type="dxa"/>
              <w:left w:w="110" w:type="dxa"/>
              <w:bottom w:w="90" w:type="dxa"/>
              <w:right w:w="110" w:type="dxa"/>
            </w:tcMar>
          </w:tcPr>
          <w:p w14:paraId="0CC8DB0E" w14:textId="77777777" w:rsidR="004668C3" w:rsidRDefault="00000000">
            <w:pPr>
              <w:spacing w:after="0"/>
            </w:pPr>
            <w:r>
              <w:rPr>
                <w:sz w:val="16"/>
              </w:rPr>
              <w:t>Basket only</w:t>
            </w:r>
          </w:p>
        </w:tc>
        <w:tc>
          <w:tcPr>
            <w:tcW w:w="2520" w:type="dxa"/>
            <w:tcMar>
              <w:top w:w="90" w:type="dxa"/>
              <w:left w:w="110" w:type="dxa"/>
              <w:bottom w:w="90" w:type="dxa"/>
              <w:right w:w="110" w:type="dxa"/>
            </w:tcMar>
          </w:tcPr>
          <w:p w14:paraId="10885D83" w14:textId="77777777" w:rsidR="004668C3" w:rsidRDefault="00000000">
            <w:pPr>
              <w:spacing w:after="0"/>
            </w:pPr>
            <w:r>
              <w:rPr>
                <w:sz w:val="16"/>
              </w:rPr>
              <w:t>Secondary basket check</w:t>
            </w:r>
          </w:p>
        </w:tc>
        <w:tc>
          <w:tcPr>
            <w:tcW w:w="2880" w:type="dxa"/>
            <w:tcMar>
              <w:top w:w="90" w:type="dxa"/>
              <w:left w:w="110" w:type="dxa"/>
              <w:bottom w:w="90" w:type="dxa"/>
              <w:right w:w="110" w:type="dxa"/>
            </w:tcMar>
          </w:tcPr>
          <w:p w14:paraId="5A78319F" w14:textId="77777777" w:rsidR="004668C3" w:rsidRDefault="00000000">
            <w:pPr>
              <w:spacing w:after="0"/>
            </w:pPr>
            <w:r>
              <w:rPr>
                <w:sz w:val="16"/>
              </w:rPr>
              <w:t>Core portfolio comparison</w:t>
            </w:r>
          </w:p>
        </w:tc>
      </w:tr>
    </w:tbl>
    <w:p w14:paraId="3DCFAAAF" w14:textId="77777777" w:rsidR="004668C3" w:rsidRDefault="004668C3">
      <w:pPr>
        <w:spacing w:after="100"/>
      </w:pPr>
    </w:p>
    <w:p w14:paraId="62D3DEDA" w14:textId="77777777" w:rsidR="004668C3" w:rsidRDefault="00000000">
      <w:pPr>
        <w:pStyle w:val="Heading1"/>
      </w:pPr>
      <w:r>
        <w:rPr>
          <w:rFonts w:ascii="Aptos" w:eastAsia="Aptos" w:hAnsi="Aptos"/>
          <w:b w:val="0"/>
        </w:rPr>
        <w:t>7. Recommended project blueprint</w:t>
      </w:r>
    </w:p>
    <w:p w14:paraId="751944E2" w14:textId="77777777" w:rsidR="004668C3" w:rsidRDefault="00000000">
      <w:pPr>
        <w:pStyle w:val="Heading2"/>
      </w:pPr>
      <w:r>
        <w:rPr>
          <w:rFonts w:ascii="Aptos" w:eastAsia="Aptos" w:hAnsi="Aptos"/>
          <w:b w:val="0"/>
        </w:rPr>
        <w:t>7.1 Minimum viable core</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2592"/>
        <w:gridCol w:w="8064"/>
      </w:tblGrid>
      <w:tr w:rsidR="004668C3" w14:paraId="1F90109A" w14:textId="77777777">
        <w:trPr>
          <w:cantSplit/>
          <w:tblHeader/>
          <w:jc w:val="center"/>
        </w:trPr>
        <w:tc>
          <w:tcPr>
            <w:tcW w:w="2592" w:type="dxa"/>
            <w:shd w:val="clear" w:color="auto" w:fill="17365D"/>
            <w:tcMar>
              <w:top w:w="90" w:type="dxa"/>
              <w:left w:w="110" w:type="dxa"/>
              <w:bottom w:w="90" w:type="dxa"/>
              <w:right w:w="110" w:type="dxa"/>
            </w:tcMar>
            <w:vAlign w:val="center"/>
          </w:tcPr>
          <w:p w14:paraId="65747D52" w14:textId="77777777" w:rsidR="004668C3" w:rsidRDefault="00000000">
            <w:r>
              <w:rPr>
                <w:b/>
                <w:color w:val="FFFFFF"/>
                <w:sz w:val="17"/>
              </w:rPr>
              <w:t>Stage</w:t>
            </w:r>
          </w:p>
        </w:tc>
        <w:tc>
          <w:tcPr>
            <w:tcW w:w="8064" w:type="dxa"/>
            <w:shd w:val="clear" w:color="auto" w:fill="17365D"/>
            <w:tcMar>
              <w:top w:w="90" w:type="dxa"/>
              <w:left w:w="110" w:type="dxa"/>
              <w:bottom w:w="90" w:type="dxa"/>
              <w:right w:w="110" w:type="dxa"/>
            </w:tcMar>
            <w:vAlign w:val="center"/>
          </w:tcPr>
          <w:p w14:paraId="40F8B04B" w14:textId="77777777" w:rsidR="004668C3" w:rsidRDefault="00000000">
            <w:r>
              <w:rPr>
                <w:b/>
                <w:color w:val="FFFFFF"/>
                <w:sz w:val="17"/>
              </w:rPr>
              <w:t>Recommended implementation</w:t>
            </w:r>
          </w:p>
        </w:tc>
      </w:tr>
      <w:tr w:rsidR="004668C3" w14:paraId="7B8458C7" w14:textId="77777777">
        <w:trPr>
          <w:cantSplit/>
          <w:jc w:val="center"/>
        </w:trPr>
        <w:tc>
          <w:tcPr>
            <w:tcW w:w="2592" w:type="dxa"/>
            <w:tcMar>
              <w:top w:w="90" w:type="dxa"/>
              <w:left w:w="110" w:type="dxa"/>
              <w:bottom w:w="90" w:type="dxa"/>
              <w:right w:w="110" w:type="dxa"/>
            </w:tcMar>
          </w:tcPr>
          <w:p w14:paraId="74D9B83D" w14:textId="77777777" w:rsidR="004668C3" w:rsidRDefault="00000000">
            <w:pPr>
              <w:spacing w:after="0"/>
            </w:pPr>
            <w:r>
              <w:rPr>
                <w:sz w:val="17"/>
              </w:rPr>
              <w:t>Module A signal</w:t>
            </w:r>
          </w:p>
        </w:tc>
        <w:tc>
          <w:tcPr>
            <w:tcW w:w="8064" w:type="dxa"/>
            <w:tcMar>
              <w:top w:w="90" w:type="dxa"/>
              <w:left w:w="110" w:type="dxa"/>
              <w:bottom w:w="90" w:type="dxa"/>
              <w:right w:w="110" w:type="dxa"/>
            </w:tcMar>
          </w:tcPr>
          <w:p w14:paraId="5F7DE343" w14:textId="77777777" w:rsidR="0022551D" w:rsidRDefault="00000000">
            <w:r>
              <w:t>Working primary: equal-weight composite of lagged-standardized 1-week and 4-week changes in matched UK-minus-EA 6M and 1Y OIS differentials. One scalar signal is applied weekly to all Module A expressions; the 2Y OIS repricing version is the principal horizon robustness specification.</w:t>
            </w:r>
          </w:p>
        </w:tc>
      </w:tr>
      <w:tr w:rsidR="004668C3" w14:paraId="0C5EED03" w14:textId="77777777">
        <w:trPr>
          <w:cantSplit/>
          <w:jc w:val="center"/>
        </w:trPr>
        <w:tc>
          <w:tcPr>
            <w:tcW w:w="2592" w:type="dxa"/>
            <w:shd w:val="clear" w:color="auto" w:fill="EEF4FA"/>
            <w:tcMar>
              <w:top w:w="90" w:type="dxa"/>
              <w:left w:w="110" w:type="dxa"/>
              <w:bottom w:w="90" w:type="dxa"/>
              <w:right w:w="110" w:type="dxa"/>
            </w:tcMar>
          </w:tcPr>
          <w:p w14:paraId="1F4EC986" w14:textId="77777777" w:rsidR="004668C3" w:rsidRDefault="00000000">
            <w:pPr>
              <w:spacing w:after="0"/>
            </w:pPr>
            <w:r>
              <w:rPr>
                <w:sz w:val="17"/>
              </w:rPr>
              <w:t>Module A trades</w:t>
            </w:r>
          </w:p>
        </w:tc>
        <w:tc>
          <w:tcPr>
            <w:tcW w:w="8064" w:type="dxa"/>
            <w:shd w:val="clear" w:color="auto" w:fill="EEF4FA"/>
            <w:tcMar>
              <w:top w:w="90" w:type="dxa"/>
              <w:left w:w="110" w:type="dxa"/>
              <w:bottom w:w="90" w:type="dxa"/>
              <w:right w:w="110" w:type="dxa"/>
            </w:tcMar>
          </w:tcPr>
          <w:p w14:paraId="2C95DD7E" w14:textId="77777777" w:rsidR="004668C3" w:rsidRDefault="00000000">
            <w:r>
              <w:t>One-month GBP/EUR forward and DV01-balanced UK–Germany 2Y spread as co-headline strategies. Rates priority: actual government-bond futures with current DV01/CTD and explicit roll mechanics; synthetic constant-maturity zero-coupon returns if futures fail the data/reproducibility gate.</w:t>
            </w:r>
          </w:p>
        </w:tc>
      </w:tr>
      <w:tr w:rsidR="004668C3" w14:paraId="6A234ACB" w14:textId="77777777">
        <w:trPr>
          <w:cantSplit/>
          <w:jc w:val="center"/>
        </w:trPr>
        <w:tc>
          <w:tcPr>
            <w:tcW w:w="2592" w:type="dxa"/>
            <w:tcMar>
              <w:top w:w="90" w:type="dxa"/>
              <w:left w:w="110" w:type="dxa"/>
              <w:bottom w:w="90" w:type="dxa"/>
              <w:right w:w="110" w:type="dxa"/>
            </w:tcMar>
          </w:tcPr>
          <w:p w14:paraId="30B75572" w14:textId="77777777" w:rsidR="004668C3" w:rsidRDefault="00000000">
            <w:pPr>
              <w:spacing w:after="0"/>
            </w:pPr>
            <w:r>
              <w:rPr>
                <w:sz w:val="17"/>
              </w:rPr>
              <w:t>Module A extensions</w:t>
            </w:r>
          </w:p>
        </w:tc>
        <w:tc>
          <w:tcPr>
            <w:tcW w:w="8064" w:type="dxa"/>
            <w:tcMar>
              <w:top w:w="90" w:type="dxa"/>
              <w:left w:w="110" w:type="dxa"/>
              <w:bottom w:w="90" w:type="dxa"/>
              <w:right w:w="110" w:type="dxa"/>
            </w:tcMar>
          </w:tcPr>
          <w:p w14:paraId="0455C997" w14:textId="77777777" w:rsidR="004668C3" w:rsidRDefault="00000000">
            <w:r>
              <w:t>10Y spread under the same futures-first / synthetic-fallback hierarchy; one curve trade only after its economic direction and multi-leg mechanics are frozen; equal-risk basket after standalone validation.</w:t>
            </w:r>
          </w:p>
        </w:tc>
      </w:tr>
      <w:tr w:rsidR="004668C3" w14:paraId="23E29AED" w14:textId="77777777">
        <w:trPr>
          <w:cantSplit/>
          <w:jc w:val="center"/>
        </w:trPr>
        <w:tc>
          <w:tcPr>
            <w:tcW w:w="2592" w:type="dxa"/>
            <w:shd w:val="clear" w:color="auto" w:fill="EEF4FA"/>
            <w:tcMar>
              <w:top w:w="90" w:type="dxa"/>
              <w:left w:w="110" w:type="dxa"/>
              <w:bottom w:w="90" w:type="dxa"/>
              <w:right w:w="110" w:type="dxa"/>
            </w:tcMar>
          </w:tcPr>
          <w:p w14:paraId="66F93CA3" w14:textId="77777777" w:rsidR="004668C3" w:rsidRDefault="00000000">
            <w:pPr>
              <w:spacing w:after="0"/>
            </w:pPr>
            <w:r>
              <w:rPr>
                <w:sz w:val="17"/>
              </w:rPr>
              <w:t>Module B signals</w:t>
            </w:r>
          </w:p>
        </w:tc>
        <w:tc>
          <w:tcPr>
            <w:tcW w:w="8064" w:type="dxa"/>
            <w:shd w:val="clear" w:color="auto" w:fill="EEF4FA"/>
            <w:tcMar>
              <w:top w:w="90" w:type="dxa"/>
              <w:left w:w="110" w:type="dxa"/>
              <w:bottom w:w="90" w:type="dxa"/>
              <w:right w:w="110" w:type="dxa"/>
            </w:tcMar>
          </w:tcPr>
          <w:p w14:paraId="029832D4" w14:textId="77777777" w:rsidR="004668C3" w:rsidRDefault="00000000">
            <w:pPr>
              <w:spacing w:after="0"/>
            </w:pPr>
            <w:r>
              <w:rPr>
                <w:sz w:val="17"/>
              </w:rPr>
              <w:t>Separate UKMPD and EA-MPD Target, Path and QE/long-horizon factors with a common sign convention</w:t>
            </w:r>
          </w:p>
        </w:tc>
      </w:tr>
      <w:tr w:rsidR="004668C3" w14:paraId="24BDABE1" w14:textId="77777777">
        <w:trPr>
          <w:cantSplit/>
          <w:jc w:val="center"/>
        </w:trPr>
        <w:tc>
          <w:tcPr>
            <w:tcW w:w="2592" w:type="dxa"/>
            <w:tcMar>
              <w:top w:w="90" w:type="dxa"/>
              <w:left w:w="110" w:type="dxa"/>
              <w:bottom w:w="90" w:type="dxa"/>
              <w:right w:w="110" w:type="dxa"/>
            </w:tcMar>
          </w:tcPr>
          <w:p w14:paraId="475E3A82" w14:textId="77777777" w:rsidR="004668C3" w:rsidRDefault="00000000">
            <w:pPr>
              <w:spacing w:after="0"/>
            </w:pPr>
            <w:r>
              <w:rPr>
                <w:sz w:val="17"/>
              </w:rPr>
              <w:t>Module B analyses</w:t>
            </w:r>
          </w:p>
        </w:tc>
        <w:tc>
          <w:tcPr>
            <w:tcW w:w="8064" w:type="dxa"/>
            <w:tcMar>
              <w:top w:w="90" w:type="dxa"/>
              <w:left w:w="110" w:type="dxa"/>
              <w:bottom w:w="90" w:type="dxa"/>
              <w:right w:w="110" w:type="dxa"/>
            </w:tcMar>
          </w:tcPr>
          <w:p w14:paraId="04F777DA" w14:textId="77777777" w:rsidR="004668C3" w:rsidRDefault="00000000">
            <w:pPr>
              <w:spacing w:after="0"/>
            </w:pPr>
            <w:r>
              <w:rPr>
                <w:sz w:val="17"/>
              </w:rPr>
              <w:t>Contemporaneous response plus implementable post-event continuation/reversal at pre-specified horizons</w:t>
            </w:r>
          </w:p>
        </w:tc>
      </w:tr>
      <w:tr w:rsidR="004668C3" w14:paraId="0823BD3C" w14:textId="77777777">
        <w:trPr>
          <w:cantSplit/>
          <w:jc w:val="center"/>
        </w:trPr>
        <w:tc>
          <w:tcPr>
            <w:tcW w:w="2592" w:type="dxa"/>
            <w:shd w:val="clear" w:color="auto" w:fill="EEF4FA"/>
            <w:tcMar>
              <w:top w:w="90" w:type="dxa"/>
              <w:left w:w="110" w:type="dxa"/>
              <w:bottom w:w="90" w:type="dxa"/>
              <w:right w:w="110" w:type="dxa"/>
            </w:tcMar>
          </w:tcPr>
          <w:p w14:paraId="1B77ADBC" w14:textId="77777777" w:rsidR="004668C3" w:rsidRDefault="00000000">
            <w:pPr>
              <w:spacing w:after="0"/>
            </w:pPr>
            <w:r>
              <w:rPr>
                <w:sz w:val="17"/>
              </w:rPr>
              <w:t>Module C</w:t>
            </w:r>
          </w:p>
        </w:tc>
        <w:tc>
          <w:tcPr>
            <w:tcW w:w="8064" w:type="dxa"/>
            <w:shd w:val="clear" w:color="auto" w:fill="EEF4FA"/>
            <w:tcMar>
              <w:top w:w="90" w:type="dxa"/>
              <w:left w:w="110" w:type="dxa"/>
              <w:bottom w:w="90" w:type="dxa"/>
              <w:right w:w="110" w:type="dxa"/>
            </w:tcMar>
          </w:tcPr>
          <w:p w14:paraId="5950B45A" w14:textId="77777777" w:rsidR="004668C3" w:rsidRDefault="00000000">
            <w:pPr>
              <w:spacing w:after="0"/>
            </w:pPr>
            <w:r>
              <w:rPr>
                <w:sz w:val="17"/>
              </w:rPr>
              <w:t>Common-risk comparison, attribution, costs, regimes, robustness and conditional ranking</w:t>
            </w:r>
          </w:p>
        </w:tc>
      </w:tr>
    </w:tbl>
    <w:p w14:paraId="5E1F66C9" w14:textId="77777777" w:rsidR="004668C3" w:rsidRDefault="004668C3">
      <w:pPr>
        <w:spacing w:after="100"/>
      </w:pPr>
    </w:p>
    <w:p w14:paraId="75B70B80" w14:textId="77777777" w:rsidR="004668C3" w:rsidRDefault="00000000">
      <w:pPr>
        <w:pStyle w:val="Heading2"/>
      </w:pPr>
      <w:r>
        <w:rPr>
          <w:rFonts w:ascii="Aptos" w:eastAsia="Aptos" w:hAnsi="Aptos"/>
          <w:b w:val="0"/>
        </w:rPr>
        <w:t>7.2 What not to do</w:t>
      </w:r>
    </w:p>
    <w:p w14:paraId="0A412F94" w14:textId="77777777" w:rsidR="004668C3" w:rsidRDefault="00000000">
      <w:pPr>
        <w:pStyle w:val="ListBullet"/>
        <w:spacing w:after="50"/>
        <w:ind w:left="230" w:hanging="173"/>
      </w:pPr>
      <w:r>
        <w:t>Do not treat Bank Rate, SONIA, a 2Y gilt yield, a 2Y OIS rate and a two-year expected policy rate as interchangeable objects.</w:t>
      </w:r>
    </w:p>
    <w:p w14:paraId="01CB00D5" w14:textId="77777777" w:rsidR="004668C3" w:rsidRDefault="00000000">
      <w:pPr>
        <w:pStyle w:val="ListBullet"/>
        <w:spacing w:after="50"/>
        <w:ind w:left="230" w:hanging="173"/>
      </w:pPr>
      <w:r>
        <w:t>Do not use the same closing observation to calculate a signal and assume execution at that same close unless a genuinely earlier data cutoff is available.</w:t>
      </w:r>
    </w:p>
    <w:p w14:paraId="63EBAA77" w14:textId="77777777" w:rsidR="004668C3" w:rsidRDefault="00000000">
      <w:pPr>
        <w:pStyle w:val="ListBullet"/>
        <w:spacing w:after="50"/>
        <w:ind w:left="230" w:hanging="173"/>
      </w:pPr>
      <w:r>
        <w:t>Do not optimise rebalance weekday, lookback, OIS horizon, holding period or basket membership by selecting the highest full-sample Sharpe ratio.</w:t>
      </w:r>
    </w:p>
    <w:p w14:paraId="62F7952F" w14:textId="77777777" w:rsidR="004668C3" w:rsidRDefault="00000000">
      <w:pPr>
        <w:pStyle w:val="ListBullet"/>
        <w:spacing w:after="50"/>
        <w:ind w:left="230" w:hanging="173"/>
      </w:pPr>
      <w:r>
        <w:t>Do not call a daily yield change a tradable bond return without an actual, synthetic or DV01-based return construction and explicit label.</w:t>
      </w:r>
    </w:p>
    <w:p w14:paraId="4F2329E1" w14:textId="77777777" w:rsidR="004668C3" w:rsidRDefault="00000000">
      <w:pPr>
        <w:pStyle w:val="ListBullet"/>
        <w:spacing w:after="50"/>
        <w:ind w:left="230" w:hanging="173"/>
      </w:pPr>
      <w:r>
        <w:t>Do not interpret contemporaneous surprise responses as profits available to a trader before the announcement.</w:t>
      </w:r>
    </w:p>
    <w:p w14:paraId="130A759B" w14:textId="77777777" w:rsidR="004668C3" w:rsidRDefault="00000000">
      <w:pPr>
        <w:pStyle w:val="ListBullet"/>
        <w:spacing w:after="50"/>
        <w:ind w:left="230" w:hanging="173"/>
      </w:pPr>
      <w:r>
        <w:lastRenderedPageBreak/>
        <w:t>Do not combine every validated expression into the basket automatically; diversification must be demonstrated, not assumed.</w:t>
      </w:r>
    </w:p>
    <w:p w14:paraId="134E7F1F" w14:textId="77777777" w:rsidR="004668C3" w:rsidRDefault="00000000">
      <w:pPr>
        <w:pStyle w:val="ListBullet"/>
        <w:spacing w:after="50"/>
        <w:ind w:left="230" w:hanging="173"/>
      </w:pPr>
      <w:r>
        <w:t>Do not describe Module A profits or losses on policy-event days as evidence that the model forecast the announcement surprise; they arise from the pre-existing weekly position.</w:t>
      </w:r>
    </w:p>
    <w:p w14:paraId="456F8A80" w14:textId="77777777" w:rsidR="004668C3" w:rsidRDefault="00000000">
      <w:pPr>
        <w:pStyle w:val="ListBullet"/>
        <w:spacing w:after="50"/>
        <w:ind w:left="230" w:hanging="173"/>
      </w:pPr>
      <w:r>
        <w:t>Do not combine Module A and Module B without netting overlapping exposures, applying a common risk cap and separating contemporaneous event response from post-event implementable P&amp;L.</w:t>
      </w:r>
    </w:p>
    <w:p w14:paraId="632119DA" w14:textId="77777777" w:rsidR="004668C3" w:rsidRDefault="00000000">
      <w:pPr>
        <w:pStyle w:val="ListBullet"/>
        <w:spacing w:after="40"/>
      </w:pPr>
      <w:r>
        <w:t>Do not confuse the 2Y/10Y maturity bucket with the expiry date of the futures contract used to implement it.</w:t>
      </w:r>
    </w:p>
    <w:p w14:paraId="07E9B9BC" w14:textId="77777777" w:rsidR="004668C3" w:rsidRDefault="00000000">
      <w:pPr>
        <w:pStyle w:val="ListBullet"/>
        <w:spacing w:after="40"/>
      </w:pPr>
      <w:r>
        <w:t>Do not create separate “old” and “new” maturity cohorts when weekly resizing uses the same listed futures contract; all units of the same contract are economically identical at that time.</w:t>
      </w:r>
    </w:p>
    <w:p w14:paraId="2C87063D" w14:textId="77777777" w:rsidR="004668C3" w:rsidRDefault="00000000">
      <w:pPr>
        <w:pStyle w:val="ListBullet"/>
        <w:spacing w:after="40"/>
      </w:pPr>
      <w:r>
        <w:t>Do not treat a government-bond future as an exact constant-maturity 2.000Y or 10.000Y bond. Record delivery-basket/CTD effects, current DV01 and maturity drift.</w:t>
      </w:r>
    </w:p>
    <w:p w14:paraId="53071AB1" w14:textId="77777777" w:rsidR="004668C3" w:rsidRDefault="00000000">
      <w:pPr>
        <w:pStyle w:val="ListBullet"/>
        <w:spacing w:after="40"/>
      </w:pPr>
      <w:r>
        <w:t>Do not force UK and German futures to share a contract month or roll date if their market-specific roll windows differ; preserve DV01-balanced economic exposure instead.</w:t>
      </w:r>
    </w:p>
    <w:p w14:paraId="5297CB8C" w14:textId="77777777" w:rsidR="004668C3" w:rsidRDefault="00000000">
      <w:pPr>
        <w:pStyle w:val="ListBullet"/>
        <w:spacing w:after="40"/>
      </w:pPr>
      <w:r>
        <w:t>Do not optimise futures roll timing by strategy performance. Use the frozen calendar window as primary and the pre-specified liquidity-migration rule as robustness.</w:t>
      </w:r>
    </w:p>
    <w:p w14:paraId="24688C22" w14:textId="77777777" w:rsidR="004668C3" w:rsidRDefault="00000000">
      <w:pPr>
        <w:pStyle w:val="Heading1"/>
      </w:pPr>
      <w:r>
        <w:rPr>
          <w:rFonts w:ascii="Aptos" w:eastAsia="Aptos" w:hAnsi="Aptos"/>
          <w:b w:val="0"/>
        </w:rPr>
        <w:t>8. Decisions that still need to be frozen</w:t>
      </w:r>
    </w:p>
    <w:p w14:paraId="59D4B8C3" w14:textId="77777777" w:rsidR="004668C3" w:rsidRDefault="00000000">
      <w:pPr>
        <w:spacing w:after="100"/>
      </w:pPr>
      <w:r>
        <w:t>The document clarifies the architecture but does not pretend that every implementation choice is already settled. The following should be decided and recorded before final backtesting or holdout inspection.</w:t>
      </w: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4063"/>
        <w:gridCol w:w="6093"/>
      </w:tblGrid>
      <w:tr w:rsidR="004668C3" w14:paraId="678CF090" w14:textId="77777777">
        <w:trPr>
          <w:cantSplit/>
          <w:tblHeader/>
          <w:jc w:val="center"/>
        </w:trPr>
        <w:tc>
          <w:tcPr>
            <w:tcW w:w="2880" w:type="dxa"/>
            <w:shd w:val="clear" w:color="auto" w:fill="17365D"/>
            <w:tcMar>
              <w:top w:w="75" w:type="dxa"/>
              <w:left w:w="90" w:type="dxa"/>
              <w:bottom w:w="75" w:type="dxa"/>
              <w:right w:w="90" w:type="dxa"/>
            </w:tcMar>
            <w:vAlign w:val="center"/>
          </w:tcPr>
          <w:p w14:paraId="50C0E476" w14:textId="77777777" w:rsidR="004668C3" w:rsidRDefault="00000000">
            <w:pPr>
              <w:spacing w:after="40"/>
            </w:pPr>
            <w:r>
              <w:rPr>
                <w:b/>
                <w:color w:val="FFFFFF"/>
                <w:sz w:val="17"/>
              </w:rPr>
              <w:t>Decision</w:t>
            </w:r>
          </w:p>
        </w:tc>
        <w:tc>
          <w:tcPr>
            <w:tcW w:w="7776" w:type="dxa"/>
            <w:shd w:val="clear" w:color="auto" w:fill="17365D"/>
            <w:tcMar>
              <w:top w:w="75" w:type="dxa"/>
              <w:left w:w="90" w:type="dxa"/>
              <w:bottom w:w="75" w:type="dxa"/>
              <w:right w:w="90" w:type="dxa"/>
            </w:tcMar>
            <w:vAlign w:val="center"/>
          </w:tcPr>
          <w:p w14:paraId="1309519F" w14:textId="77777777" w:rsidR="004668C3" w:rsidRDefault="00000000">
            <w:pPr>
              <w:spacing w:after="40"/>
            </w:pPr>
            <w:r>
              <w:rPr>
                <w:b/>
                <w:color w:val="FFFFFF"/>
                <w:sz w:val="17"/>
              </w:rPr>
              <w:t>Recommended starting position</w:t>
            </w:r>
          </w:p>
        </w:tc>
      </w:tr>
      <w:tr w:rsidR="004668C3" w14:paraId="03694EDC" w14:textId="77777777">
        <w:trPr>
          <w:cantSplit/>
          <w:jc w:val="center"/>
        </w:trPr>
        <w:tc>
          <w:tcPr>
            <w:tcW w:w="2880" w:type="dxa"/>
            <w:tcMar>
              <w:top w:w="75" w:type="dxa"/>
              <w:left w:w="90" w:type="dxa"/>
              <w:bottom w:w="75" w:type="dxa"/>
              <w:right w:w="90" w:type="dxa"/>
            </w:tcMar>
            <w:vAlign w:val="center"/>
          </w:tcPr>
          <w:p w14:paraId="24F5C02C" w14:textId="77777777" w:rsidR="004668C3" w:rsidRDefault="00000000">
            <w:pPr>
              <w:spacing w:after="40"/>
            </w:pPr>
            <w:r>
              <w:rPr>
                <w:sz w:val="17"/>
              </w:rPr>
              <w:t>OIS signal horizons</w:t>
            </w:r>
          </w:p>
        </w:tc>
        <w:tc>
          <w:tcPr>
            <w:tcW w:w="7776" w:type="dxa"/>
            <w:tcMar>
              <w:top w:w="75" w:type="dxa"/>
              <w:left w:w="90" w:type="dxa"/>
              <w:bottom w:w="75" w:type="dxa"/>
              <w:right w:w="90" w:type="dxa"/>
            </w:tcMar>
            <w:vAlign w:val="center"/>
          </w:tcPr>
          <w:p w14:paraId="02DA1521" w14:textId="77777777" w:rsidR="0022551D" w:rsidRDefault="00000000">
            <w:r>
              <w:t>Primary horizons: matched 6M and 1Y SONIA / euro-area OIS rates. Collect 2Y as well and use it as the principal pre-specified horizon robustness specification; do not select the horizon by holdout performance.</w:t>
            </w:r>
          </w:p>
        </w:tc>
      </w:tr>
      <w:tr w:rsidR="004668C3" w14:paraId="4332F4ED" w14:textId="77777777">
        <w:trPr>
          <w:cantSplit/>
          <w:jc w:val="center"/>
        </w:trPr>
        <w:tc>
          <w:tcPr>
            <w:tcW w:w="2880" w:type="dxa"/>
            <w:shd w:val="clear" w:color="auto" w:fill="EAF0F8"/>
            <w:tcMar>
              <w:top w:w="75" w:type="dxa"/>
              <w:left w:w="90" w:type="dxa"/>
              <w:bottom w:w="75" w:type="dxa"/>
              <w:right w:w="90" w:type="dxa"/>
            </w:tcMar>
            <w:vAlign w:val="center"/>
          </w:tcPr>
          <w:p w14:paraId="7A03066B" w14:textId="77777777" w:rsidR="004668C3" w:rsidRDefault="00000000">
            <w:pPr>
              <w:spacing w:after="40"/>
            </w:pPr>
            <w:r>
              <w:rPr>
                <w:sz w:val="17"/>
              </w:rPr>
              <w:t>Signal lookbacks and weights</w:t>
            </w:r>
          </w:p>
        </w:tc>
        <w:tc>
          <w:tcPr>
            <w:tcW w:w="7776" w:type="dxa"/>
            <w:shd w:val="clear" w:color="auto" w:fill="EAF0F8"/>
            <w:tcMar>
              <w:top w:w="75" w:type="dxa"/>
              <w:left w:w="90" w:type="dxa"/>
              <w:bottom w:w="75" w:type="dxa"/>
              <w:right w:w="90" w:type="dxa"/>
            </w:tcMar>
            <w:vAlign w:val="center"/>
          </w:tcPr>
          <w:p w14:paraId="611A260F" w14:textId="77777777" w:rsidR="0022551D" w:rsidRDefault="00000000">
            <w:r>
              <w:t>Primary lookbacks: 1-week and 4-week changes in each 6M and 1Y UK-minus-EA differential, combined with fixed equal weights after lagged standardisation. Keep the differential level separate as a level-only benchmark.</w:t>
            </w:r>
          </w:p>
        </w:tc>
      </w:tr>
      <w:tr w:rsidR="004668C3" w14:paraId="5D1C94F3" w14:textId="77777777">
        <w:trPr>
          <w:cantSplit/>
          <w:jc w:val="center"/>
        </w:trPr>
        <w:tc>
          <w:tcPr>
            <w:tcW w:w="2880" w:type="dxa"/>
            <w:tcMar>
              <w:top w:w="75" w:type="dxa"/>
              <w:left w:w="90" w:type="dxa"/>
              <w:bottom w:w="75" w:type="dxa"/>
              <w:right w:w="90" w:type="dxa"/>
            </w:tcMar>
            <w:vAlign w:val="center"/>
          </w:tcPr>
          <w:p w14:paraId="14EAFC05" w14:textId="77777777" w:rsidR="004668C3" w:rsidRDefault="00000000">
            <w:pPr>
              <w:spacing w:after="40"/>
            </w:pPr>
            <w:r>
              <w:rPr>
                <w:sz w:val="17"/>
              </w:rPr>
              <w:t>Standardisation</w:t>
            </w:r>
          </w:p>
        </w:tc>
        <w:tc>
          <w:tcPr>
            <w:tcW w:w="7776" w:type="dxa"/>
            <w:tcMar>
              <w:top w:w="75" w:type="dxa"/>
              <w:left w:w="90" w:type="dxa"/>
              <w:bottom w:w="75" w:type="dxa"/>
              <w:right w:w="90" w:type="dxa"/>
            </w:tcMar>
            <w:vAlign w:val="center"/>
          </w:tcPr>
          <w:p w14:paraId="15D31014" w14:textId="77777777" w:rsidR="004668C3" w:rsidRDefault="00000000">
            <w:pPr>
              <w:spacing w:after="40"/>
            </w:pPr>
            <w:r>
              <w:rPr>
                <w:sz w:val="17"/>
              </w:rPr>
              <w:t>Rolling or expanding z-scores using lagged information only, with caps and minimum-history rules</w:t>
            </w:r>
          </w:p>
        </w:tc>
      </w:tr>
      <w:tr w:rsidR="004668C3" w14:paraId="39EA5A96" w14:textId="77777777">
        <w:trPr>
          <w:cantSplit/>
          <w:jc w:val="center"/>
        </w:trPr>
        <w:tc>
          <w:tcPr>
            <w:tcW w:w="2880" w:type="dxa"/>
            <w:shd w:val="clear" w:color="auto" w:fill="EAF0F8"/>
            <w:tcMar>
              <w:top w:w="75" w:type="dxa"/>
              <w:left w:w="90" w:type="dxa"/>
              <w:bottom w:w="75" w:type="dxa"/>
              <w:right w:w="90" w:type="dxa"/>
            </w:tcMar>
            <w:vAlign w:val="center"/>
          </w:tcPr>
          <w:p w14:paraId="2C8B0545" w14:textId="77777777" w:rsidR="004668C3" w:rsidRDefault="00000000">
            <w:pPr>
              <w:spacing w:after="40"/>
            </w:pPr>
            <w:r>
              <w:rPr>
                <w:sz w:val="17"/>
              </w:rPr>
              <w:t>Module A timing</w:t>
            </w:r>
          </w:p>
        </w:tc>
        <w:tc>
          <w:tcPr>
            <w:tcW w:w="7776" w:type="dxa"/>
            <w:shd w:val="clear" w:color="auto" w:fill="EAF0F8"/>
            <w:tcMar>
              <w:top w:w="75" w:type="dxa"/>
              <w:left w:w="90" w:type="dxa"/>
              <w:bottom w:w="75" w:type="dxa"/>
              <w:right w:w="90" w:type="dxa"/>
            </w:tcMar>
            <w:vAlign w:val="center"/>
          </w:tcPr>
          <w:p w14:paraId="6C55FD7B" w14:textId="77777777" w:rsidR="004668C3" w:rsidRDefault="00000000">
            <w:pPr>
              <w:spacing w:after="40"/>
            </w:pPr>
            <w:r>
              <w:rPr>
                <w:sz w:val="17"/>
              </w:rPr>
              <w:t>Working primary: Thursday-close signal → Friday-close execution; Friday→Monday and midweek as pre-specified robustness checks</w:t>
            </w:r>
          </w:p>
        </w:tc>
      </w:tr>
      <w:tr w:rsidR="004668C3" w14:paraId="0584FC3A" w14:textId="77777777">
        <w:trPr>
          <w:cantSplit/>
          <w:jc w:val="center"/>
        </w:trPr>
        <w:tc>
          <w:tcPr>
            <w:tcW w:w="2880" w:type="dxa"/>
            <w:tcMar>
              <w:top w:w="75" w:type="dxa"/>
              <w:left w:w="90" w:type="dxa"/>
              <w:bottom w:w="75" w:type="dxa"/>
              <w:right w:w="90" w:type="dxa"/>
            </w:tcMar>
            <w:vAlign w:val="center"/>
          </w:tcPr>
          <w:p w14:paraId="6EA1EC8E" w14:textId="77777777" w:rsidR="004668C3" w:rsidRDefault="00000000">
            <w:pPr>
              <w:spacing w:after="40"/>
            </w:pPr>
            <w:r>
              <w:rPr>
                <w:sz w:val="17"/>
              </w:rPr>
              <w:t>Rates return construction</w:t>
            </w:r>
          </w:p>
        </w:tc>
        <w:tc>
          <w:tcPr>
            <w:tcW w:w="7776" w:type="dxa"/>
            <w:tcMar>
              <w:top w:w="75" w:type="dxa"/>
              <w:left w:w="90" w:type="dxa"/>
              <w:bottom w:w="75" w:type="dxa"/>
              <w:right w:w="90" w:type="dxa"/>
            </w:tcMar>
            <w:vAlign w:val="center"/>
          </w:tcPr>
          <w:p w14:paraId="54FCE90A" w14:textId="77777777" w:rsidR="004668C3" w:rsidRDefault="00000000">
            <w:pPr>
              <w:spacing w:after="40"/>
            </w:pPr>
            <w:r>
              <w:rPr>
                <w:sz w:val="17"/>
              </w:rPr>
              <w:t>Priority: actual government-bond futures with defensible contract chains, current DV01/CTD inputs and explicit roll/cost treatment. If these fail the data or reproducibility gate, use constant-maturity synthetic zero-coupon returns. DV01 approximation remains diagnostic only.</w:t>
            </w:r>
          </w:p>
        </w:tc>
      </w:tr>
      <w:tr w:rsidR="004668C3" w14:paraId="5F5E55E1" w14:textId="77777777">
        <w:trPr>
          <w:cantSplit/>
          <w:jc w:val="center"/>
        </w:trPr>
        <w:tc>
          <w:tcPr>
            <w:tcW w:w="2880" w:type="dxa"/>
            <w:shd w:val="clear" w:color="auto" w:fill="EAF0F8"/>
            <w:tcMar>
              <w:top w:w="75" w:type="dxa"/>
              <w:left w:w="90" w:type="dxa"/>
              <w:bottom w:w="75" w:type="dxa"/>
              <w:right w:w="90" w:type="dxa"/>
            </w:tcMar>
            <w:vAlign w:val="center"/>
          </w:tcPr>
          <w:p w14:paraId="59CCFD82" w14:textId="77777777" w:rsidR="004668C3" w:rsidRDefault="00000000">
            <w:pPr>
              <w:spacing w:after="40"/>
            </w:pPr>
            <w:r>
              <w:rPr>
                <w:sz w:val="17"/>
              </w:rPr>
              <w:t>Volatility target and caps</w:t>
            </w:r>
          </w:p>
        </w:tc>
        <w:tc>
          <w:tcPr>
            <w:tcW w:w="7776" w:type="dxa"/>
            <w:shd w:val="clear" w:color="auto" w:fill="EAF0F8"/>
            <w:tcMar>
              <w:top w:w="75" w:type="dxa"/>
              <w:left w:w="90" w:type="dxa"/>
              <w:bottom w:w="75" w:type="dxa"/>
              <w:right w:w="90" w:type="dxa"/>
            </w:tcMar>
            <w:vAlign w:val="center"/>
          </w:tcPr>
          <w:p w14:paraId="28264629" w14:textId="77777777" w:rsidR="004668C3" w:rsidRDefault="00000000">
            <w:pPr>
              <w:spacing w:after="40"/>
            </w:pPr>
            <w:r>
              <w:rPr>
                <w:sz w:val="17"/>
              </w:rPr>
              <w:t>One common ex-ante target across expressions, lagged estimate, floors/caps and no Sharpe optimisation</w:t>
            </w:r>
          </w:p>
        </w:tc>
      </w:tr>
      <w:tr w:rsidR="004668C3" w14:paraId="7900AD6D" w14:textId="77777777">
        <w:trPr>
          <w:cantSplit/>
          <w:jc w:val="center"/>
        </w:trPr>
        <w:tc>
          <w:tcPr>
            <w:tcW w:w="2880" w:type="dxa"/>
            <w:tcMar>
              <w:top w:w="75" w:type="dxa"/>
              <w:left w:w="90" w:type="dxa"/>
              <w:bottom w:w="75" w:type="dxa"/>
              <w:right w:w="90" w:type="dxa"/>
            </w:tcMar>
            <w:vAlign w:val="center"/>
          </w:tcPr>
          <w:p w14:paraId="4111816A" w14:textId="77777777" w:rsidR="004668C3" w:rsidRDefault="00000000">
            <w:pPr>
              <w:spacing w:after="40"/>
            </w:pPr>
            <w:r>
              <w:rPr>
                <w:sz w:val="17"/>
              </w:rPr>
              <w:t>Costs</w:t>
            </w:r>
          </w:p>
        </w:tc>
        <w:tc>
          <w:tcPr>
            <w:tcW w:w="7776" w:type="dxa"/>
            <w:tcMar>
              <w:top w:w="75" w:type="dxa"/>
              <w:left w:w="90" w:type="dxa"/>
              <w:bottom w:w="75" w:type="dxa"/>
              <w:right w:w="90" w:type="dxa"/>
            </w:tcMar>
            <w:vAlign w:val="center"/>
          </w:tcPr>
          <w:p w14:paraId="579E8FD4" w14:textId="77777777" w:rsidR="004668C3" w:rsidRDefault="00000000">
            <w:pPr>
              <w:spacing w:after="40"/>
            </w:pPr>
            <w:r>
              <w:rPr>
                <w:sz w:val="17"/>
              </w:rPr>
              <w:t>Low, central and stressed scenarios; gross/net and cost break-even reported</w:t>
            </w:r>
          </w:p>
        </w:tc>
      </w:tr>
      <w:tr w:rsidR="004668C3" w14:paraId="5E57777E" w14:textId="77777777">
        <w:trPr>
          <w:cantSplit/>
          <w:jc w:val="center"/>
        </w:trPr>
        <w:tc>
          <w:tcPr>
            <w:tcW w:w="2880" w:type="dxa"/>
            <w:shd w:val="clear" w:color="auto" w:fill="EAF0F8"/>
            <w:tcMar>
              <w:top w:w="75" w:type="dxa"/>
              <w:left w:w="90" w:type="dxa"/>
              <w:bottom w:w="75" w:type="dxa"/>
              <w:right w:w="90" w:type="dxa"/>
            </w:tcMar>
            <w:vAlign w:val="center"/>
          </w:tcPr>
          <w:p w14:paraId="2A0A20A4" w14:textId="77777777" w:rsidR="004668C3" w:rsidRDefault="00000000">
            <w:pPr>
              <w:spacing w:after="40"/>
            </w:pPr>
            <w:r>
              <w:rPr>
                <w:sz w:val="17"/>
              </w:rPr>
              <w:t>Module B event windows</w:t>
            </w:r>
          </w:p>
        </w:tc>
        <w:tc>
          <w:tcPr>
            <w:tcW w:w="7776" w:type="dxa"/>
            <w:shd w:val="clear" w:color="auto" w:fill="EAF0F8"/>
            <w:tcMar>
              <w:top w:w="75" w:type="dxa"/>
              <w:left w:w="90" w:type="dxa"/>
              <w:bottom w:w="75" w:type="dxa"/>
              <w:right w:w="90" w:type="dxa"/>
            </w:tcMar>
            <w:vAlign w:val="center"/>
          </w:tcPr>
          <w:p w14:paraId="6192F896" w14:textId="77777777" w:rsidR="004668C3" w:rsidRDefault="00000000">
            <w:pPr>
              <w:spacing w:after="40"/>
            </w:pPr>
            <w:r>
              <w:rPr>
                <w:sz w:val="17"/>
              </w:rPr>
              <w:t>Use database definitions where available; map UK and ECB windows explicitly</w:t>
            </w:r>
          </w:p>
        </w:tc>
      </w:tr>
      <w:tr w:rsidR="004668C3" w14:paraId="2BFE6F79" w14:textId="77777777">
        <w:trPr>
          <w:cantSplit/>
          <w:jc w:val="center"/>
        </w:trPr>
        <w:tc>
          <w:tcPr>
            <w:tcW w:w="2880" w:type="dxa"/>
            <w:tcMar>
              <w:top w:w="75" w:type="dxa"/>
              <w:left w:w="90" w:type="dxa"/>
              <w:bottom w:w="75" w:type="dxa"/>
              <w:right w:w="90" w:type="dxa"/>
            </w:tcMar>
            <w:vAlign w:val="center"/>
          </w:tcPr>
          <w:p w14:paraId="5C901748" w14:textId="77777777" w:rsidR="004668C3" w:rsidRDefault="00000000">
            <w:pPr>
              <w:spacing w:after="40"/>
            </w:pPr>
            <w:r>
              <w:rPr>
                <w:sz w:val="17"/>
              </w:rPr>
              <w:t>Post-event entry and exits</w:t>
            </w:r>
          </w:p>
        </w:tc>
        <w:tc>
          <w:tcPr>
            <w:tcW w:w="7776" w:type="dxa"/>
            <w:tcMar>
              <w:top w:w="75" w:type="dxa"/>
              <w:left w:w="90" w:type="dxa"/>
              <w:bottom w:w="75" w:type="dxa"/>
              <w:right w:w="90" w:type="dxa"/>
            </w:tcMar>
            <w:vAlign w:val="center"/>
          </w:tcPr>
          <w:p w14:paraId="1ED9FE53" w14:textId="77777777" w:rsidR="004668C3" w:rsidRDefault="00000000">
            <w:pPr>
              <w:spacing w:after="40"/>
            </w:pPr>
            <w:r>
              <w:rPr>
                <w:sz w:val="17"/>
              </w:rPr>
              <w:t>First defensible post-event price; pre-specify 1, 5 and 20 business-day horizons or another small set</w:t>
            </w:r>
          </w:p>
        </w:tc>
      </w:tr>
      <w:tr w:rsidR="004668C3" w14:paraId="119E8390" w14:textId="77777777">
        <w:trPr>
          <w:cantSplit/>
          <w:jc w:val="center"/>
        </w:trPr>
        <w:tc>
          <w:tcPr>
            <w:tcW w:w="2880" w:type="dxa"/>
            <w:shd w:val="clear" w:color="auto" w:fill="EAF0F8"/>
            <w:tcMar>
              <w:top w:w="75" w:type="dxa"/>
              <w:left w:w="90" w:type="dxa"/>
              <w:bottom w:w="75" w:type="dxa"/>
              <w:right w:w="90" w:type="dxa"/>
            </w:tcMar>
            <w:vAlign w:val="center"/>
          </w:tcPr>
          <w:p w14:paraId="5B074D12" w14:textId="77777777" w:rsidR="004668C3" w:rsidRDefault="00000000">
            <w:pPr>
              <w:spacing w:after="40"/>
            </w:pPr>
            <w:r>
              <w:rPr>
                <w:sz w:val="17"/>
              </w:rPr>
              <w:t>Overlapping events</w:t>
            </w:r>
          </w:p>
        </w:tc>
        <w:tc>
          <w:tcPr>
            <w:tcW w:w="7776" w:type="dxa"/>
            <w:shd w:val="clear" w:color="auto" w:fill="EAF0F8"/>
            <w:tcMar>
              <w:top w:w="75" w:type="dxa"/>
              <w:left w:w="90" w:type="dxa"/>
              <w:bottom w:w="75" w:type="dxa"/>
              <w:right w:w="90" w:type="dxa"/>
            </w:tcMar>
            <w:vAlign w:val="center"/>
          </w:tcPr>
          <w:p w14:paraId="42249CC2" w14:textId="77777777" w:rsidR="004668C3" w:rsidRDefault="00000000">
            <w:pPr>
              <w:spacing w:after="40"/>
            </w:pPr>
            <w:r>
              <w:rPr>
                <w:sz w:val="17"/>
              </w:rPr>
              <w:t>Close, net or replace existing event positions according to one documented rule</w:t>
            </w:r>
          </w:p>
        </w:tc>
      </w:tr>
      <w:tr w:rsidR="004668C3" w14:paraId="5A75B504" w14:textId="77777777">
        <w:trPr>
          <w:cantSplit/>
          <w:jc w:val="center"/>
        </w:trPr>
        <w:tc>
          <w:tcPr>
            <w:tcW w:w="2880" w:type="dxa"/>
            <w:tcMar>
              <w:top w:w="75" w:type="dxa"/>
              <w:left w:w="90" w:type="dxa"/>
              <w:bottom w:w="75" w:type="dxa"/>
              <w:right w:w="90" w:type="dxa"/>
            </w:tcMar>
            <w:vAlign w:val="center"/>
          </w:tcPr>
          <w:p w14:paraId="0929F0ED" w14:textId="77777777" w:rsidR="004668C3" w:rsidRDefault="00000000">
            <w:pPr>
              <w:spacing w:after="40"/>
            </w:pPr>
            <w:r>
              <w:rPr>
                <w:sz w:val="17"/>
              </w:rPr>
              <w:lastRenderedPageBreak/>
              <w:t>Basket membership</w:t>
            </w:r>
          </w:p>
        </w:tc>
        <w:tc>
          <w:tcPr>
            <w:tcW w:w="7776" w:type="dxa"/>
            <w:tcMar>
              <w:top w:w="75" w:type="dxa"/>
              <w:left w:w="90" w:type="dxa"/>
              <w:bottom w:w="75" w:type="dxa"/>
              <w:right w:w="90" w:type="dxa"/>
            </w:tcMar>
            <w:vAlign w:val="center"/>
          </w:tcPr>
          <w:p w14:paraId="290C5DC2" w14:textId="77777777" w:rsidR="004668C3" w:rsidRDefault="00000000">
            <w:pPr>
              <w:spacing w:after="40"/>
            </w:pPr>
            <w:r>
              <w:rPr>
                <w:sz w:val="17"/>
              </w:rPr>
              <w:t>Start with forward + 2Y; add 10Y/curve only after standalone validation and diversification evidence</w:t>
            </w:r>
          </w:p>
        </w:tc>
      </w:tr>
      <w:tr w:rsidR="004668C3" w14:paraId="40B2CD72" w14:textId="77777777">
        <w:trPr>
          <w:cantSplit/>
          <w:jc w:val="center"/>
        </w:trPr>
        <w:tc>
          <w:tcPr>
            <w:tcW w:w="2880" w:type="dxa"/>
            <w:shd w:val="clear" w:color="auto" w:fill="EAF0F8"/>
            <w:tcMar>
              <w:top w:w="75" w:type="dxa"/>
              <w:left w:w="90" w:type="dxa"/>
              <w:bottom w:w="75" w:type="dxa"/>
              <w:right w:w="90" w:type="dxa"/>
            </w:tcMar>
            <w:vAlign w:val="center"/>
          </w:tcPr>
          <w:p w14:paraId="70AE369D" w14:textId="77777777" w:rsidR="004668C3" w:rsidRDefault="00000000">
            <w:pPr>
              <w:spacing w:after="40"/>
            </w:pPr>
            <w:r>
              <w:rPr>
                <w:sz w:val="17"/>
              </w:rPr>
              <w:t>Holdout and freeze</w:t>
            </w:r>
          </w:p>
        </w:tc>
        <w:tc>
          <w:tcPr>
            <w:tcW w:w="7776" w:type="dxa"/>
            <w:shd w:val="clear" w:color="auto" w:fill="EAF0F8"/>
            <w:tcMar>
              <w:top w:w="75" w:type="dxa"/>
              <w:left w:w="90" w:type="dxa"/>
              <w:bottom w:w="75" w:type="dxa"/>
              <w:right w:w="90" w:type="dxa"/>
            </w:tcMar>
            <w:vAlign w:val="center"/>
          </w:tcPr>
          <w:p w14:paraId="66720EE8" w14:textId="77777777" w:rsidR="004668C3" w:rsidRDefault="00000000">
            <w:pPr>
              <w:spacing w:after="40"/>
            </w:pPr>
            <w:r>
              <w:rPr>
                <w:sz w:val="17"/>
              </w:rPr>
              <w:t>Lock final sample and methodology before inspecting holdout performance</w:t>
            </w:r>
          </w:p>
        </w:tc>
      </w:tr>
      <w:tr w:rsidR="004668C3" w14:paraId="7AB1DCBD" w14:textId="77777777">
        <w:trPr>
          <w:cantSplit/>
          <w:jc w:val="center"/>
        </w:trPr>
        <w:tc>
          <w:tcPr>
            <w:tcW w:w="2880" w:type="dxa"/>
            <w:tcMar>
              <w:top w:w="75" w:type="dxa"/>
              <w:left w:w="90" w:type="dxa"/>
              <w:bottom w:w="75" w:type="dxa"/>
              <w:right w:w="90" w:type="dxa"/>
            </w:tcMar>
            <w:vAlign w:val="center"/>
          </w:tcPr>
          <w:p w14:paraId="26806F39" w14:textId="77777777" w:rsidR="004668C3" w:rsidRDefault="00000000">
            <w:pPr>
              <w:spacing w:after="40"/>
            </w:pPr>
            <w:r>
              <w:rPr>
                <w:sz w:val="17"/>
              </w:rPr>
              <w:t>Module A policy-meeting exposure</w:t>
            </w:r>
          </w:p>
        </w:tc>
        <w:tc>
          <w:tcPr>
            <w:tcW w:w="7776" w:type="dxa"/>
            <w:tcMar>
              <w:top w:w="75" w:type="dxa"/>
              <w:left w:w="90" w:type="dxa"/>
              <w:bottom w:w="75" w:type="dxa"/>
              <w:right w:w="90" w:type="dxa"/>
            </w:tcMar>
            <w:vAlign w:val="center"/>
          </w:tcPr>
          <w:p w14:paraId="2837AB42" w14:textId="77777777" w:rsidR="004668C3" w:rsidRDefault="00000000">
            <w:pPr>
              <w:spacing w:after="40"/>
            </w:pPr>
            <w:r>
              <w:rPr>
                <w:sz w:val="17"/>
              </w:rPr>
              <w:t>Carry the latest weekly target through scheduled BoE and ECB meetings; no automatic flattening and no separate pre-event bet. Report event versus non-event P&amp;L.</w:t>
            </w:r>
          </w:p>
        </w:tc>
      </w:tr>
      <w:tr w:rsidR="004668C3" w14:paraId="79236359" w14:textId="77777777">
        <w:trPr>
          <w:cantSplit/>
          <w:jc w:val="center"/>
        </w:trPr>
        <w:tc>
          <w:tcPr>
            <w:tcW w:w="2880" w:type="dxa"/>
            <w:shd w:val="clear" w:color="auto" w:fill="EAF0F8"/>
            <w:tcMar>
              <w:top w:w="75" w:type="dxa"/>
              <w:left w:w="90" w:type="dxa"/>
              <w:bottom w:w="75" w:type="dxa"/>
              <w:right w:w="90" w:type="dxa"/>
            </w:tcMar>
            <w:vAlign w:val="center"/>
          </w:tcPr>
          <w:p w14:paraId="146E2FBB" w14:textId="77777777" w:rsidR="004668C3" w:rsidRDefault="00000000">
            <w:pPr>
              <w:spacing w:after="40"/>
            </w:pPr>
            <w:r>
              <w:rPr>
                <w:sz w:val="17"/>
              </w:rPr>
              <w:t>Module A / B interaction</w:t>
            </w:r>
          </w:p>
        </w:tc>
        <w:tc>
          <w:tcPr>
            <w:tcW w:w="7776" w:type="dxa"/>
            <w:shd w:val="clear" w:color="auto" w:fill="EAF0F8"/>
            <w:tcMar>
              <w:top w:w="75" w:type="dxa"/>
              <w:left w:w="90" w:type="dxa"/>
              <w:bottom w:w="75" w:type="dxa"/>
              <w:right w:w="90" w:type="dxa"/>
            </w:tcMar>
            <w:vAlign w:val="center"/>
          </w:tcPr>
          <w:p w14:paraId="6229D027" w14:textId="77777777" w:rsidR="004668C3" w:rsidRDefault="00000000">
            <w:pPr>
              <w:spacing w:after="40"/>
            </w:pPr>
            <w:r>
              <w:rPr>
                <w:sz w:val="17"/>
              </w:rPr>
              <w:t>Evaluate separately first. In any combined portfolio, treat A as the baseline and B as a temporary netted, risk-capped overlay; prevent double attribution.</w:t>
            </w:r>
          </w:p>
        </w:tc>
      </w:tr>
      <w:tr w:rsidR="004668C3" w14:paraId="7ABF5FBD" w14:textId="77777777">
        <w:trPr>
          <w:cantSplit/>
          <w:jc w:val="center"/>
        </w:trPr>
        <w:tc>
          <w:tcPr>
            <w:tcW w:w="2880" w:type="dxa"/>
            <w:tcMar>
              <w:top w:w="75" w:type="dxa"/>
              <w:left w:w="90" w:type="dxa"/>
              <w:bottom w:w="75" w:type="dxa"/>
              <w:right w:w="90" w:type="dxa"/>
            </w:tcMar>
            <w:vAlign w:val="center"/>
          </w:tcPr>
          <w:p w14:paraId="5DA73ED9" w14:textId="77777777" w:rsidR="004668C3" w:rsidRDefault="00000000">
            <w:pPr>
              <w:spacing w:after="40"/>
            </w:pPr>
            <w:r>
              <w:rPr>
                <w:sz w:val="17"/>
              </w:rPr>
              <w:t>Pre-event surprise forecasting</w:t>
            </w:r>
          </w:p>
        </w:tc>
        <w:tc>
          <w:tcPr>
            <w:tcW w:w="7776" w:type="dxa"/>
            <w:tcMar>
              <w:top w:w="75" w:type="dxa"/>
              <w:left w:w="90" w:type="dxa"/>
              <w:bottom w:w="75" w:type="dxa"/>
              <w:right w:w="90" w:type="dxa"/>
            </w:tcMar>
            <w:vAlign w:val="center"/>
          </w:tcPr>
          <w:p w14:paraId="7422EBDC" w14:textId="77777777" w:rsidR="004668C3" w:rsidRDefault="00000000">
            <w:pPr>
              <w:spacing w:after="40"/>
            </w:pPr>
            <w:r>
              <w:rPr>
                <w:sz w:val="17"/>
              </w:rPr>
              <w:t>Outside the core scope. Retain as a future extension using genuinely pre-event information only, after the main project is complete.</w:t>
            </w:r>
          </w:p>
        </w:tc>
      </w:tr>
      <w:tr w:rsidR="004668C3" w14:paraId="02A5D66B" w14:textId="77777777">
        <w:trPr>
          <w:cantSplit/>
          <w:jc w:val="center"/>
        </w:trPr>
        <w:tc>
          <w:tcPr>
            <w:tcW w:w="5083" w:type="dxa"/>
            <w:shd w:val="clear" w:color="auto" w:fill="EAF0F8"/>
            <w:tcMar>
              <w:top w:w="75" w:type="dxa"/>
              <w:left w:w="90" w:type="dxa"/>
              <w:bottom w:w="75" w:type="dxa"/>
              <w:right w:w="90" w:type="dxa"/>
            </w:tcMar>
            <w:vAlign w:val="center"/>
          </w:tcPr>
          <w:p w14:paraId="1AC8C96D" w14:textId="77777777" w:rsidR="004668C3" w:rsidRDefault="00000000">
            <w:pPr>
              <w:spacing w:after="40"/>
            </w:pPr>
            <w:r>
              <w:rPr>
                <w:sz w:val="17"/>
              </w:rPr>
              <w:t>Rates futures weekly rebalance</w:t>
            </w:r>
          </w:p>
        </w:tc>
        <w:tc>
          <w:tcPr>
            <w:tcW w:w="5083" w:type="dxa"/>
            <w:shd w:val="clear" w:color="auto" w:fill="EAF0F8"/>
            <w:tcMar>
              <w:top w:w="75" w:type="dxa"/>
              <w:left w:w="90" w:type="dxa"/>
              <w:bottom w:w="75" w:type="dxa"/>
              <w:right w:w="90" w:type="dxa"/>
            </w:tcMar>
            <w:vAlign w:val="center"/>
          </w:tcPr>
          <w:p w14:paraId="23E42681" w14:textId="77777777" w:rsidR="004668C3" w:rsidRDefault="00000000">
            <w:pPr>
              <w:spacing w:after="40"/>
            </w:pPr>
            <w:r>
              <w:rPr>
                <w:sz w:val="17"/>
              </w:rPr>
              <w:t>Target-based: recalculate desired spread DV01 from signal, lagged volatility, current contract DV01s, FX conversion and caps; trade only the difference from existing contract quantities.</w:t>
            </w:r>
          </w:p>
        </w:tc>
      </w:tr>
      <w:tr w:rsidR="004668C3" w14:paraId="33DFCA82" w14:textId="77777777">
        <w:trPr>
          <w:cantSplit/>
          <w:jc w:val="center"/>
        </w:trPr>
        <w:tc>
          <w:tcPr>
            <w:tcW w:w="5083" w:type="dxa"/>
            <w:tcMar>
              <w:top w:w="75" w:type="dxa"/>
              <w:left w:w="90" w:type="dxa"/>
              <w:bottom w:w="75" w:type="dxa"/>
              <w:right w:w="90" w:type="dxa"/>
            </w:tcMar>
            <w:vAlign w:val="center"/>
          </w:tcPr>
          <w:p w14:paraId="2F1F7926" w14:textId="77777777" w:rsidR="004668C3" w:rsidRDefault="00000000">
            <w:pPr>
              <w:spacing w:after="40"/>
            </w:pPr>
            <w:r>
              <w:rPr>
                <w:sz w:val="17"/>
              </w:rPr>
              <w:t>Rates futures maturity treatment</w:t>
            </w:r>
          </w:p>
        </w:tc>
        <w:tc>
          <w:tcPr>
            <w:tcW w:w="5083" w:type="dxa"/>
            <w:tcMar>
              <w:top w:w="75" w:type="dxa"/>
              <w:left w:w="90" w:type="dxa"/>
              <w:bottom w:w="75" w:type="dxa"/>
              <w:right w:w="90" w:type="dxa"/>
            </w:tcMar>
            <w:vAlign w:val="center"/>
          </w:tcPr>
          <w:p w14:paraId="65777C13" w14:textId="77777777" w:rsidR="004668C3" w:rsidRDefault="00000000">
            <w:pPr>
              <w:spacing w:after="40"/>
            </w:pPr>
            <w:r>
              <w:rPr>
                <w:sz w:val="17"/>
              </w:rPr>
              <w:t>Accept normal within-contract maturity drift and CTD-driven changes; do not reset the whole futures book weekly merely to restore exact 2Y/10Y maturity. Synthetics provide the exact constant-maturity comparison.</w:t>
            </w:r>
          </w:p>
        </w:tc>
      </w:tr>
      <w:tr w:rsidR="004668C3" w14:paraId="4AF79525" w14:textId="77777777">
        <w:trPr>
          <w:cantSplit/>
          <w:jc w:val="center"/>
        </w:trPr>
        <w:tc>
          <w:tcPr>
            <w:tcW w:w="5083" w:type="dxa"/>
            <w:shd w:val="clear" w:color="auto" w:fill="EAF0F8"/>
            <w:tcMar>
              <w:top w:w="75" w:type="dxa"/>
              <w:left w:w="90" w:type="dxa"/>
              <w:bottom w:w="75" w:type="dxa"/>
              <w:right w:w="90" w:type="dxa"/>
            </w:tcMar>
            <w:vAlign w:val="center"/>
          </w:tcPr>
          <w:p w14:paraId="2B689C65" w14:textId="77777777" w:rsidR="004668C3" w:rsidRDefault="00000000">
            <w:pPr>
              <w:spacing w:after="40"/>
            </w:pPr>
            <w:r>
              <w:rPr>
                <w:sz w:val="17"/>
              </w:rPr>
              <w:t>Rates futures primary roll</w:t>
            </w:r>
          </w:p>
        </w:tc>
        <w:tc>
          <w:tcPr>
            <w:tcW w:w="5083" w:type="dxa"/>
            <w:shd w:val="clear" w:color="auto" w:fill="EAF0F8"/>
            <w:tcMar>
              <w:top w:w="75" w:type="dxa"/>
              <w:left w:w="90" w:type="dxa"/>
              <w:bottom w:w="75" w:type="dxa"/>
              <w:right w:w="90" w:type="dxa"/>
            </w:tcMar>
            <w:vAlign w:val="center"/>
          </w:tcPr>
          <w:p w14:paraId="674486E3" w14:textId="77777777" w:rsidR="004668C3" w:rsidRDefault="00000000">
            <w:pPr>
              <w:spacing w:after="40"/>
            </w:pPr>
            <w:r>
              <w:rPr>
                <w:sz w:val="17"/>
              </w:rPr>
              <w:t>Provisional: UK gilt futures eligible 10–5 business days before FND; German Bund/Schatz futures eligible 10–5 business days before LTD. Prefer the Friday Module A rebalance within each market’s window; allow asynchronous UK/German rolls; use a maintenance-date roll if waiting for Friday would breach the safe window.</w:t>
            </w:r>
          </w:p>
        </w:tc>
      </w:tr>
      <w:tr w:rsidR="004668C3" w14:paraId="0416E10E" w14:textId="77777777">
        <w:trPr>
          <w:cantSplit/>
          <w:jc w:val="center"/>
        </w:trPr>
        <w:tc>
          <w:tcPr>
            <w:tcW w:w="5083" w:type="dxa"/>
            <w:tcMar>
              <w:top w:w="75" w:type="dxa"/>
              <w:left w:w="90" w:type="dxa"/>
              <w:bottom w:w="75" w:type="dxa"/>
              <w:right w:w="90" w:type="dxa"/>
            </w:tcMar>
            <w:vAlign w:val="center"/>
          </w:tcPr>
          <w:p w14:paraId="17218EC0" w14:textId="77777777" w:rsidR="004668C3" w:rsidRDefault="00000000">
            <w:pPr>
              <w:spacing w:after="40"/>
            </w:pPr>
            <w:r>
              <w:rPr>
                <w:sz w:val="17"/>
              </w:rPr>
              <w:t>Rates futures roll robustness</w:t>
            </w:r>
          </w:p>
        </w:tc>
        <w:tc>
          <w:tcPr>
            <w:tcW w:w="5083" w:type="dxa"/>
            <w:tcMar>
              <w:top w:w="75" w:type="dxa"/>
              <w:left w:w="90" w:type="dxa"/>
              <w:bottom w:w="75" w:type="dxa"/>
              <w:right w:w="90" w:type="dxa"/>
            </w:tcMar>
            <w:vAlign w:val="center"/>
          </w:tcPr>
          <w:p w14:paraId="7D6E1B36" w14:textId="77777777" w:rsidR="004668C3" w:rsidRDefault="00000000">
            <w:pPr>
              <w:spacing w:after="40"/>
            </w:pPr>
            <w:r>
              <w:rPr>
                <w:sz w:val="17"/>
              </w:rPr>
              <w:t>Liquidity-migration rule: roll when next-contract daily volume exceeds front-contract volume for two consecutive trading days, subject to a pre-specified safety deadline. May occur midweek.</w:t>
            </w:r>
          </w:p>
        </w:tc>
      </w:tr>
      <w:tr w:rsidR="004668C3" w14:paraId="6815AE16" w14:textId="77777777">
        <w:trPr>
          <w:cantSplit/>
          <w:jc w:val="center"/>
        </w:trPr>
        <w:tc>
          <w:tcPr>
            <w:tcW w:w="5083" w:type="dxa"/>
            <w:shd w:val="clear" w:color="auto" w:fill="EAF0F8"/>
            <w:tcMar>
              <w:top w:w="75" w:type="dxa"/>
              <w:left w:w="90" w:type="dxa"/>
              <w:bottom w:w="75" w:type="dxa"/>
              <w:right w:w="90" w:type="dxa"/>
            </w:tcMar>
            <w:vAlign w:val="center"/>
          </w:tcPr>
          <w:p w14:paraId="7CC481EA" w14:textId="77777777" w:rsidR="004668C3" w:rsidRDefault="00000000">
            <w:pPr>
              <w:spacing w:after="40"/>
            </w:pPr>
            <w:r>
              <w:rPr>
                <w:sz w:val="17"/>
              </w:rPr>
              <w:t>Rates futures versus synthetics</w:t>
            </w:r>
          </w:p>
        </w:tc>
        <w:tc>
          <w:tcPr>
            <w:tcW w:w="5083" w:type="dxa"/>
            <w:shd w:val="clear" w:color="auto" w:fill="EAF0F8"/>
            <w:tcMar>
              <w:top w:w="75" w:type="dxa"/>
              <w:left w:w="90" w:type="dxa"/>
              <w:bottom w:w="75" w:type="dxa"/>
              <w:right w:w="90" w:type="dxa"/>
            </w:tcMar>
            <w:vAlign w:val="center"/>
          </w:tcPr>
          <w:p w14:paraId="19B8F82E" w14:textId="77777777" w:rsidR="004668C3" w:rsidRDefault="00000000">
            <w:pPr>
              <w:spacing w:after="40"/>
            </w:pPr>
            <w:r>
              <w:rPr>
                <w:sz w:val="17"/>
              </w:rPr>
              <w:t>Futures are the primary desk-realistic implementation when data permit. Constant-maturity synthetic 2Y/10Y zero-coupon spreads are the fallback and a key robustness comparison even when futures are available.</w:t>
            </w:r>
          </w:p>
        </w:tc>
      </w:tr>
      <w:tr w:rsidR="004668C3" w14:paraId="6B7666DC" w14:textId="77777777">
        <w:trPr>
          <w:cantSplit/>
          <w:jc w:val="center"/>
        </w:trPr>
        <w:tc>
          <w:tcPr>
            <w:tcW w:w="5083" w:type="dxa"/>
            <w:tcMar>
              <w:top w:w="75" w:type="dxa"/>
              <w:left w:w="90" w:type="dxa"/>
              <w:bottom w:w="75" w:type="dxa"/>
              <w:right w:w="90" w:type="dxa"/>
            </w:tcMar>
            <w:vAlign w:val="center"/>
          </w:tcPr>
          <w:p w14:paraId="22C476BC" w14:textId="77777777" w:rsidR="004668C3" w:rsidRDefault="00000000">
            <w:pPr>
              <w:spacing w:after="40"/>
            </w:pPr>
            <w:r>
              <w:rPr>
                <w:sz w:val="17"/>
              </w:rPr>
              <w:t>Relative curve implementation</w:t>
            </w:r>
          </w:p>
        </w:tc>
        <w:tc>
          <w:tcPr>
            <w:tcW w:w="5083" w:type="dxa"/>
            <w:tcMar>
              <w:top w:w="75" w:type="dxa"/>
              <w:left w:w="90" w:type="dxa"/>
              <w:bottom w:w="75" w:type="dxa"/>
              <w:right w:w="90" w:type="dxa"/>
            </w:tcMar>
            <w:vAlign w:val="center"/>
          </w:tcPr>
          <w:p w14:paraId="660BBD9F" w14:textId="77777777" w:rsidR="0022551D" w:rsidRDefault="00000000">
            <w:r>
              <w:t>Module A starting hypothesis selected: relatively hawkish UK -&gt; UK 2s10s flattens more than Germany. Reuse the validated 2Y/10Y futures as the preferred implementation, with within-country 2Y/10Y DV01 balance, UK-versus-Germany ex-ante risk scaling and the same CTD/roll/cost mechanics; constant-maturity synthetics are the fallback and exact-maturity robustness construction. Freeze this direction before holdout evaluation.</w:t>
            </w:r>
          </w:p>
        </w:tc>
      </w:tr>
    </w:tbl>
    <w:p w14:paraId="3854E78E" w14:textId="77777777" w:rsidR="004668C3" w:rsidRDefault="004668C3">
      <w:pPr>
        <w:spacing w:after="100"/>
      </w:pPr>
    </w:p>
    <w:p w14:paraId="2C440023" w14:textId="77777777" w:rsidR="004668C3" w:rsidRDefault="00000000">
      <w:pPr>
        <w:pStyle w:val="Heading1"/>
      </w:pPr>
      <w:r>
        <w:rPr>
          <w:rFonts w:ascii="Aptos" w:eastAsia="Aptos" w:hAnsi="Aptos"/>
          <w:b w:val="0"/>
        </w:rPr>
        <w:t>9. Final mental model</w:t>
      </w:r>
    </w:p>
    <w:tbl>
      <w:tblPr>
        <w:tblW w:w="0" w:type="auto"/>
        <w:jc w:val="center"/>
        <w:tblLook w:val="04A0" w:firstRow="1" w:lastRow="0" w:firstColumn="1" w:lastColumn="0" w:noHBand="0" w:noVBand="1"/>
      </w:tblPr>
      <w:tblGrid>
        <w:gridCol w:w="10166"/>
      </w:tblGrid>
      <w:tr w:rsidR="004668C3" w14:paraId="1A2A407A" w14:textId="77777777">
        <w:trPr>
          <w:cantSplit/>
          <w:jc w:val="center"/>
        </w:trPr>
        <w:tc>
          <w:tcPr>
            <w:tcW w:w="10166" w:type="dxa"/>
            <w:shd w:val="clear" w:color="auto" w:fill="E7F2F3"/>
            <w:tcMar>
              <w:top w:w="130" w:type="dxa"/>
              <w:left w:w="170" w:type="dxa"/>
              <w:bottom w:w="130" w:type="dxa"/>
              <w:right w:w="170" w:type="dxa"/>
            </w:tcMar>
          </w:tcPr>
          <w:p w14:paraId="47C6187B" w14:textId="77777777" w:rsidR="004668C3" w:rsidRDefault="00000000">
            <w:r>
              <w:rPr>
                <w:b/>
              </w:rPr>
              <w:t>The project in one sentence</w:t>
            </w:r>
          </w:p>
          <w:p w14:paraId="15A5F164" w14:textId="77777777" w:rsidR="004668C3" w:rsidRDefault="00000000">
            <w:r>
              <w:t>OIS-path data and identified announcement shocks generate the relative-policy view; the forward, 2Y spread, 10Y spread and curve are alternative ways to express it. The rates spreads are economic maturity-bucket exposures, implemented with actual futures first and exact constant-maturity synthetics as fallback/robustness; the basket combines validated expressions; and Module C determines which channel works, when, and why.</w:t>
            </w:r>
          </w:p>
        </w:tc>
      </w:tr>
    </w:tbl>
    <w:p w14:paraId="61F8562B" w14:textId="77777777" w:rsidR="004668C3" w:rsidRDefault="004668C3">
      <w:pPr>
        <w:spacing w:after="100"/>
      </w:pPr>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1440"/>
        <w:gridCol w:w="4608"/>
        <w:gridCol w:w="4608"/>
      </w:tblGrid>
      <w:tr w:rsidR="004668C3" w14:paraId="18B45622" w14:textId="77777777">
        <w:trPr>
          <w:cantSplit/>
          <w:tblHeader/>
          <w:jc w:val="center"/>
        </w:trPr>
        <w:tc>
          <w:tcPr>
            <w:tcW w:w="1440" w:type="dxa"/>
            <w:shd w:val="clear" w:color="auto" w:fill="17365D"/>
            <w:tcMar>
              <w:top w:w="90" w:type="dxa"/>
              <w:left w:w="110" w:type="dxa"/>
              <w:bottom w:w="90" w:type="dxa"/>
              <w:right w:w="110" w:type="dxa"/>
            </w:tcMar>
            <w:vAlign w:val="center"/>
          </w:tcPr>
          <w:p w14:paraId="0F0EA543" w14:textId="77777777" w:rsidR="004668C3" w:rsidRDefault="00000000">
            <w:r>
              <w:rPr>
                <w:b/>
                <w:color w:val="FFFFFF"/>
                <w:sz w:val="18"/>
              </w:rPr>
              <w:lastRenderedPageBreak/>
              <w:t>Module</w:t>
            </w:r>
          </w:p>
        </w:tc>
        <w:tc>
          <w:tcPr>
            <w:tcW w:w="4608" w:type="dxa"/>
            <w:shd w:val="clear" w:color="auto" w:fill="17365D"/>
            <w:tcMar>
              <w:top w:w="90" w:type="dxa"/>
              <w:left w:w="110" w:type="dxa"/>
              <w:bottom w:w="90" w:type="dxa"/>
              <w:right w:w="110" w:type="dxa"/>
            </w:tcMar>
            <w:vAlign w:val="center"/>
          </w:tcPr>
          <w:p w14:paraId="3FE6B58F" w14:textId="77777777" w:rsidR="004668C3" w:rsidRDefault="00000000">
            <w:r>
              <w:rPr>
                <w:b/>
                <w:color w:val="FFFFFF"/>
                <w:sz w:val="18"/>
              </w:rPr>
              <w:t>Plain-English question</w:t>
            </w:r>
          </w:p>
        </w:tc>
        <w:tc>
          <w:tcPr>
            <w:tcW w:w="4608" w:type="dxa"/>
            <w:shd w:val="clear" w:color="auto" w:fill="17365D"/>
            <w:tcMar>
              <w:top w:w="90" w:type="dxa"/>
              <w:left w:w="110" w:type="dxa"/>
              <w:bottom w:w="90" w:type="dxa"/>
              <w:right w:w="110" w:type="dxa"/>
            </w:tcMar>
            <w:vAlign w:val="center"/>
          </w:tcPr>
          <w:p w14:paraId="10D00DF6" w14:textId="77777777" w:rsidR="004668C3" w:rsidRDefault="00000000">
            <w:r>
              <w:rPr>
                <w:b/>
                <w:color w:val="FFFFFF"/>
                <w:sz w:val="18"/>
              </w:rPr>
              <w:t>Most important deliverable</w:t>
            </w:r>
          </w:p>
        </w:tc>
      </w:tr>
      <w:tr w:rsidR="004668C3" w14:paraId="7B44788E" w14:textId="77777777">
        <w:trPr>
          <w:cantSplit/>
          <w:jc w:val="center"/>
        </w:trPr>
        <w:tc>
          <w:tcPr>
            <w:tcW w:w="1440" w:type="dxa"/>
            <w:tcMar>
              <w:top w:w="90" w:type="dxa"/>
              <w:left w:w="110" w:type="dxa"/>
              <w:bottom w:w="90" w:type="dxa"/>
              <w:right w:w="110" w:type="dxa"/>
            </w:tcMar>
          </w:tcPr>
          <w:p w14:paraId="59591FEE" w14:textId="77777777" w:rsidR="004668C3" w:rsidRDefault="00000000">
            <w:pPr>
              <w:spacing w:after="0"/>
            </w:pPr>
            <w:r>
              <w:rPr>
                <w:sz w:val="18"/>
              </w:rPr>
              <w:t>A</w:t>
            </w:r>
          </w:p>
        </w:tc>
        <w:tc>
          <w:tcPr>
            <w:tcW w:w="4608" w:type="dxa"/>
            <w:tcMar>
              <w:top w:w="90" w:type="dxa"/>
              <w:left w:w="110" w:type="dxa"/>
              <w:bottom w:w="90" w:type="dxa"/>
              <w:right w:w="110" w:type="dxa"/>
            </w:tcMar>
          </w:tcPr>
          <w:p w14:paraId="4B2AD589" w14:textId="77777777" w:rsidR="004668C3" w:rsidRDefault="00000000">
            <w:pPr>
              <w:spacing w:after="0"/>
            </w:pPr>
            <w:r>
              <w:rPr>
                <w:sz w:val="18"/>
              </w:rPr>
              <w:t>When relative policy expectations move gradually, can we trade that movement over subsequent weeks?</w:t>
            </w:r>
          </w:p>
        </w:tc>
        <w:tc>
          <w:tcPr>
            <w:tcW w:w="4608" w:type="dxa"/>
            <w:tcMar>
              <w:top w:w="90" w:type="dxa"/>
              <w:left w:w="110" w:type="dxa"/>
              <w:bottom w:w="90" w:type="dxa"/>
              <w:right w:w="110" w:type="dxa"/>
            </w:tcMar>
          </w:tcPr>
          <w:p w14:paraId="454ECE13" w14:textId="77777777" w:rsidR="004668C3" w:rsidRDefault="00000000">
            <w:pPr>
              <w:spacing w:after="0"/>
            </w:pPr>
            <w:r>
              <w:rPr>
                <w:sz w:val="18"/>
              </w:rPr>
              <w:t>A transparent weekly signal applied fairly to multiple expressions</w:t>
            </w:r>
          </w:p>
        </w:tc>
      </w:tr>
      <w:tr w:rsidR="004668C3" w14:paraId="0556AC1E" w14:textId="77777777">
        <w:trPr>
          <w:cantSplit/>
          <w:jc w:val="center"/>
        </w:trPr>
        <w:tc>
          <w:tcPr>
            <w:tcW w:w="1440" w:type="dxa"/>
            <w:shd w:val="clear" w:color="auto" w:fill="EEF4FA"/>
            <w:tcMar>
              <w:top w:w="90" w:type="dxa"/>
              <w:left w:w="110" w:type="dxa"/>
              <w:bottom w:w="90" w:type="dxa"/>
              <w:right w:w="110" w:type="dxa"/>
            </w:tcMar>
          </w:tcPr>
          <w:p w14:paraId="0CD1CEA2" w14:textId="77777777" w:rsidR="004668C3" w:rsidRDefault="00000000">
            <w:pPr>
              <w:spacing w:after="0"/>
            </w:pPr>
            <w:r>
              <w:rPr>
                <w:sz w:val="18"/>
              </w:rPr>
              <w:t>B</w:t>
            </w:r>
          </w:p>
        </w:tc>
        <w:tc>
          <w:tcPr>
            <w:tcW w:w="4608" w:type="dxa"/>
            <w:shd w:val="clear" w:color="auto" w:fill="EEF4FA"/>
            <w:tcMar>
              <w:top w:w="90" w:type="dxa"/>
              <w:left w:w="110" w:type="dxa"/>
              <w:bottom w:w="90" w:type="dxa"/>
              <w:right w:w="110" w:type="dxa"/>
            </w:tcMar>
          </w:tcPr>
          <w:p w14:paraId="67F0D7AB" w14:textId="77777777" w:rsidR="004668C3" w:rsidRDefault="00000000">
            <w:pPr>
              <w:spacing w:after="0"/>
            </w:pPr>
            <w:r>
              <w:rPr>
                <w:sz w:val="18"/>
              </w:rPr>
              <w:t>When unexpected policy news arrives, which markets react immediately and what happens after the event?</w:t>
            </w:r>
          </w:p>
        </w:tc>
        <w:tc>
          <w:tcPr>
            <w:tcW w:w="4608" w:type="dxa"/>
            <w:shd w:val="clear" w:color="auto" w:fill="EEF4FA"/>
            <w:tcMar>
              <w:top w:w="90" w:type="dxa"/>
              <w:left w:w="110" w:type="dxa"/>
              <w:bottom w:w="90" w:type="dxa"/>
              <w:right w:w="110" w:type="dxa"/>
            </w:tcMar>
          </w:tcPr>
          <w:p w14:paraId="1D8EAB84" w14:textId="77777777" w:rsidR="004668C3" w:rsidRDefault="00000000">
            <w:pPr>
              <w:spacing w:after="0"/>
            </w:pPr>
            <w:r>
              <w:rPr>
                <w:sz w:val="18"/>
              </w:rPr>
              <w:t>Clear separation of event identification from implementable post-event trading</w:t>
            </w:r>
          </w:p>
        </w:tc>
      </w:tr>
      <w:tr w:rsidR="004668C3" w14:paraId="45312F96" w14:textId="77777777">
        <w:trPr>
          <w:cantSplit/>
          <w:jc w:val="center"/>
        </w:trPr>
        <w:tc>
          <w:tcPr>
            <w:tcW w:w="1440" w:type="dxa"/>
            <w:tcMar>
              <w:top w:w="90" w:type="dxa"/>
              <w:left w:w="110" w:type="dxa"/>
              <w:bottom w:w="90" w:type="dxa"/>
              <w:right w:w="110" w:type="dxa"/>
            </w:tcMar>
          </w:tcPr>
          <w:p w14:paraId="6915A11C" w14:textId="77777777" w:rsidR="004668C3" w:rsidRDefault="00000000">
            <w:pPr>
              <w:spacing w:after="0"/>
            </w:pPr>
            <w:r>
              <w:rPr>
                <w:sz w:val="18"/>
              </w:rPr>
              <w:t>C</w:t>
            </w:r>
          </w:p>
        </w:tc>
        <w:tc>
          <w:tcPr>
            <w:tcW w:w="4608" w:type="dxa"/>
            <w:tcMar>
              <w:top w:w="90" w:type="dxa"/>
              <w:left w:w="110" w:type="dxa"/>
              <w:bottom w:w="90" w:type="dxa"/>
              <w:right w:w="110" w:type="dxa"/>
            </w:tcMar>
          </w:tcPr>
          <w:p w14:paraId="7DD2A16F" w14:textId="77777777" w:rsidR="004668C3" w:rsidRDefault="00000000">
            <w:pPr>
              <w:spacing w:after="0"/>
            </w:pPr>
            <w:r>
              <w:rPr>
                <w:sz w:val="18"/>
              </w:rPr>
              <w:t>Why did the expressions differ, and which is best under each circumstance?</w:t>
            </w:r>
          </w:p>
        </w:tc>
        <w:tc>
          <w:tcPr>
            <w:tcW w:w="4608" w:type="dxa"/>
            <w:tcMar>
              <w:top w:w="90" w:type="dxa"/>
              <w:left w:w="110" w:type="dxa"/>
              <w:bottom w:w="90" w:type="dxa"/>
              <w:right w:w="110" w:type="dxa"/>
            </w:tcMar>
          </w:tcPr>
          <w:p w14:paraId="14881F9B" w14:textId="77777777" w:rsidR="004668C3" w:rsidRDefault="00000000">
            <w:pPr>
              <w:spacing w:after="0"/>
            </w:pPr>
            <w:r>
              <w:rPr>
                <w:sz w:val="18"/>
              </w:rPr>
              <w:t>Risk-normalised comparison, attribution and conditional conclusions</w:t>
            </w:r>
          </w:p>
        </w:tc>
      </w:tr>
    </w:tbl>
    <w:p w14:paraId="0AFB62C4" w14:textId="77777777" w:rsidR="004668C3" w:rsidRDefault="004668C3">
      <w:pPr>
        <w:spacing w:after="100"/>
      </w:pPr>
    </w:p>
    <w:p w14:paraId="6908A170" w14:textId="77777777" w:rsidR="004668C3" w:rsidRDefault="00000000">
      <w:pPr>
        <w:spacing w:before="280" w:after="100"/>
        <w:jc w:val="center"/>
      </w:pPr>
      <w:r>
        <w:rPr>
          <w:i/>
          <w:color w:val="777777"/>
          <w:sz w:val="18"/>
        </w:rPr>
        <w:t>End of specification</w:t>
      </w:r>
    </w:p>
    <w:sectPr w:rsidR="004668C3" w:rsidSect="00034616">
      <w:footerReference w:type="default" r:id="rId8"/>
      <w:pgSz w:w="12240" w:h="15840"/>
      <w:pgMar w:top="936"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464EB8" w14:textId="77777777" w:rsidR="00307DD8" w:rsidRDefault="00307DD8">
      <w:pPr>
        <w:spacing w:after="0" w:line="240" w:lineRule="auto"/>
      </w:pPr>
      <w:r>
        <w:separator/>
      </w:r>
    </w:p>
  </w:endnote>
  <w:endnote w:type="continuationSeparator" w:id="0">
    <w:p w14:paraId="1A0940DA" w14:textId="77777777" w:rsidR="00307DD8" w:rsidRDefault="00307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552149" w14:textId="77777777" w:rsidR="004668C3" w:rsidRDefault="00000000">
    <w:pPr>
      <w:pStyle w:val="Footer"/>
      <w:jc w:val="center"/>
    </w:pPr>
    <w:r>
      <w:rPr>
        <w:color w:val="6B6B6B"/>
        <w:sz w:val="16"/>
      </w:rPr>
      <w:t>UK/EU Rates-FX Trade Expression Lab  |  Modules A, B and C</w:t>
    </w:r>
    <w:r>
      <w:rPr>
        <w:color w:val="9A9A9A"/>
        <w:sz w:val="16"/>
      </w:rPr>
      <w:t xml:space="preserve">   •   </w:t>
    </w:r>
    <w:r>
      <w:fldChar w:fldCharType="begin"/>
    </w:r>
    <w:r>
      <w:instrText xml:space="preserve"> PAGE </w:instrText>
    </w:r>
    <w:r>
      <w:fldChar w:fldCharType="separate"/>
    </w:r>
    <w:r w:rsidR="00A6525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518130" w14:textId="77777777" w:rsidR="00307DD8" w:rsidRDefault="00307DD8">
      <w:pPr>
        <w:spacing w:after="0" w:line="240" w:lineRule="auto"/>
      </w:pPr>
      <w:r>
        <w:separator/>
      </w:r>
    </w:p>
  </w:footnote>
  <w:footnote w:type="continuationSeparator" w:id="0">
    <w:p w14:paraId="57E72F62" w14:textId="77777777" w:rsidR="00307DD8" w:rsidRDefault="00307D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0323300">
    <w:abstractNumId w:val="8"/>
  </w:num>
  <w:num w:numId="2" w16cid:durableId="133840594">
    <w:abstractNumId w:val="6"/>
  </w:num>
  <w:num w:numId="3" w16cid:durableId="1589655284">
    <w:abstractNumId w:val="5"/>
  </w:num>
  <w:num w:numId="4" w16cid:durableId="1384332431">
    <w:abstractNumId w:val="4"/>
  </w:num>
  <w:num w:numId="5" w16cid:durableId="639924124">
    <w:abstractNumId w:val="7"/>
  </w:num>
  <w:num w:numId="6" w16cid:durableId="1338146499">
    <w:abstractNumId w:val="3"/>
  </w:num>
  <w:num w:numId="7" w16cid:durableId="468868046">
    <w:abstractNumId w:val="2"/>
  </w:num>
  <w:num w:numId="8" w16cid:durableId="166869607">
    <w:abstractNumId w:val="1"/>
  </w:num>
  <w:num w:numId="9" w16cid:durableId="15973219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A45"/>
    <w:rsid w:val="00100FEE"/>
    <w:rsid w:val="00111CE6"/>
    <w:rsid w:val="0015074B"/>
    <w:rsid w:val="0017677B"/>
    <w:rsid w:val="0022551D"/>
    <w:rsid w:val="00241254"/>
    <w:rsid w:val="0026149E"/>
    <w:rsid w:val="0029639D"/>
    <w:rsid w:val="00297DDB"/>
    <w:rsid w:val="00307DD8"/>
    <w:rsid w:val="00326F90"/>
    <w:rsid w:val="003F7661"/>
    <w:rsid w:val="004668C3"/>
    <w:rsid w:val="0079080D"/>
    <w:rsid w:val="007C6351"/>
    <w:rsid w:val="007E0581"/>
    <w:rsid w:val="008B5744"/>
    <w:rsid w:val="008B6CA7"/>
    <w:rsid w:val="00A1120E"/>
    <w:rsid w:val="00A518D0"/>
    <w:rsid w:val="00A65256"/>
    <w:rsid w:val="00AA1D8D"/>
    <w:rsid w:val="00B37CA0"/>
    <w:rsid w:val="00B47730"/>
    <w:rsid w:val="00BC0167"/>
    <w:rsid w:val="00BC1272"/>
    <w:rsid w:val="00C02A05"/>
    <w:rsid w:val="00C61226"/>
    <w:rsid w:val="00CB0664"/>
    <w:rsid w:val="00D519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A3D334"/>
  <w14:defaultImageDpi w14:val="300"/>
  <w15:docId w15:val="{76826BCE-F6F6-D443-AB04-5AEF4393B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eastAsia="Aptos" w:hAnsi="Aptos"/>
      <w:color w:val="222222"/>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color w:val="0F6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abel">
    <w:name w:val="Section Label"/>
    <w:pPr>
      <w:keepNext/>
      <w:spacing w:after="60"/>
    </w:pPr>
    <w:rPr>
      <w:rFonts w:ascii="Aptos" w:eastAsia="Aptos" w:hAnsi="Aptos"/>
      <w:b/>
      <w:color w:val="0F6B78"/>
      <w:sz w:val="18"/>
    </w:rPr>
  </w:style>
  <w:style w:type="character" w:customStyle="1" w:styleId="apple-converted-space">
    <w:name w:val="apple-converted-space"/>
    <w:basedOn w:val="DefaultParagraphFont"/>
    <w:rsid w:val="00D519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8634</Words>
  <Characters>49220</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UK/EU Rates-FX Trade Expression Lab — Modules A, B and C</dc:title>
  <dc:subject>Practical research specification and implementation guide</dc:subject>
  <dc:creator>Project team</dc:creator>
  <cp:keywords>rates, FX, OIS, monetary policy, event study, trade expression</cp:keywords>
  <dc:description>generated by python-docx</dc:description>
  <cp:lastModifiedBy>Jack Noel</cp:lastModifiedBy>
  <cp:revision>4</cp:revision>
  <dcterms:created xsi:type="dcterms:W3CDTF">2026-08-25T15:28:00Z</dcterms:created>
  <dcterms:modified xsi:type="dcterms:W3CDTF">2026-10-06T07:50:00Z</dcterms:modified>
  <cp:category/>
</cp:coreProperties>
</file>