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591566" w14:textId="3FB40922" w:rsidR="007D0B4C" w:rsidRPr="00941AF3" w:rsidRDefault="00941AF3" w:rsidP="00941AF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1AF3">
        <w:rPr>
          <w:rFonts w:ascii="Times New Roman" w:hAnsi="Times New Roman" w:cs="Times New Roman"/>
          <w:sz w:val="28"/>
          <w:szCs w:val="28"/>
        </w:rPr>
        <w:t>Tradeable Assets for UK/EU Rates/FX Trade Expression Lab</w:t>
      </w:r>
    </w:p>
    <w:p w14:paraId="11CFD264" w14:textId="77777777" w:rsid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7665A7AE" w14:textId="3952AD0B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  <w:t>1. EUR/GBP spot</w:t>
      </w:r>
    </w:p>
    <w:p w14:paraId="17AB4CD2" w14:textId="77777777" w:rsidR="00941AF3" w:rsidRPr="00941AF3" w:rsidRDefault="00941AF3" w:rsidP="00941AF3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EUR/GBP = 0.86 means €1 buys £0.86.</w:t>
      </w:r>
    </w:p>
    <w:p w14:paraId="21AEC811" w14:textId="77777777" w:rsidR="00941AF3" w:rsidRPr="00941AF3" w:rsidRDefault="00941AF3" w:rsidP="00941AF3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If it falls to 0.84, sterling has strengthened against the euro.</w:t>
      </w:r>
    </w:p>
    <w:p w14:paraId="2E59975D" w14:textId="0FF87677" w:rsidR="00E24271" w:rsidRPr="006315B6" w:rsidRDefault="00941AF3" w:rsidP="00E24271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If it rises to 0.88, sterling has weakened.</w:t>
      </w:r>
    </w:p>
    <w:p w14:paraId="2027A639" w14:textId="0CD6037D" w:rsidR="00E24271" w:rsidRPr="006315B6" w:rsidRDefault="006315B6" w:rsidP="00E2427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315B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Mechanisms</w:t>
      </w:r>
    </w:p>
    <w:p w14:paraId="069AE6B8" w14:textId="1EDC40F5" w:rsidR="00E24271" w:rsidRPr="00E24271" w:rsidRDefault="00E24271" w:rsidP="00E24271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rStyle w:val="Strong"/>
          <w:b w:val="0"/>
          <w:bCs w:val="0"/>
          <w:color w:val="000000"/>
        </w:rPr>
        <w:t xml:space="preserve">More hawkish BoE relative to ECB → higher expected UK interest rates relative to euro-area rates → </w:t>
      </w:r>
      <w:r>
        <w:rPr>
          <w:rStyle w:val="Strong"/>
          <w:b w:val="0"/>
          <w:bCs w:val="0"/>
          <w:color w:val="000000"/>
        </w:rPr>
        <w:t xml:space="preserve">interest bearing </w:t>
      </w:r>
      <w:r w:rsidRPr="00E24271">
        <w:rPr>
          <w:rStyle w:val="Strong"/>
          <w:b w:val="0"/>
          <w:bCs w:val="0"/>
          <w:color w:val="000000"/>
        </w:rPr>
        <w:t>sterling assets offer better returns → investors buy GBP and sell EUR → GBP strengthens / EUR/GBP falls.</w:t>
      </w:r>
    </w:p>
    <w:p w14:paraId="7F91DFB4" w14:textId="77777777" w:rsidR="00E24271" w:rsidRPr="00E24271" w:rsidRDefault="00E24271" w:rsidP="00E24271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rStyle w:val="Strong"/>
          <w:b w:val="0"/>
          <w:bCs w:val="0"/>
          <w:color w:val="000000"/>
        </w:rPr>
        <w:t>But higher UK rates → higher discount rates and weaker expected growth → UK equities may fall → foreign investors may reduce UK exposure and sell GBP → this can offset some of the currency strength.</w:t>
      </w:r>
    </w:p>
    <w:p w14:paraId="1A400BCE" w14:textId="77777777" w:rsidR="00E24271" w:rsidRPr="00E24271" w:rsidRDefault="00E24271" w:rsidP="00E24271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rStyle w:val="Strong"/>
          <w:b w:val="0"/>
          <w:bCs w:val="0"/>
          <w:color w:val="000000"/>
        </w:rPr>
        <w:t>Stronger UK growth relative to the euro area → better expected UK investment returns → greater demand for UK assets and GBP → GBP strengthens.</w:t>
      </w:r>
    </w:p>
    <w:p w14:paraId="2611AAA4" w14:textId="77777777" w:rsidR="00E24271" w:rsidRPr="00E24271" w:rsidRDefault="00E24271" w:rsidP="00E24271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rStyle w:val="Strong"/>
          <w:b w:val="0"/>
          <w:bCs w:val="0"/>
          <w:color w:val="000000"/>
        </w:rPr>
        <w:t>Higher UK inflation can have two effects:</w:t>
      </w:r>
    </w:p>
    <w:p w14:paraId="0ECC1007" w14:textId="77777777" w:rsidR="00E24271" w:rsidRPr="00E24271" w:rsidRDefault="00E24271" w:rsidP="00E24271">
      <w:pPr>
        <w:pStyle w:val="NormalWeb"/>
        <w:numPr>
          <w:ilvl w:val="1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color w:val="000000"/>
        </w:rPr>
        <w:t>persistent inflation → expectations of higher BoE rates → GBP may strengthen;</w:t>
      </w:r>
    </w:p>
    <w:p w14:paraId="458F83BB" w14:textId="77777777" w:rsidR="00E24271" w:rsidRPr="00E24271" w:rsidRDefault="00E24271" w:rsidP="00E24271">
      <w:pPr>
        <w:pStyle w:val="NormalWeb"/>
        <w:numPr>
          <w:ilvl w:val="1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color w:val="000000"/>
        </w:rPr>
        <w:t>uncontrolled inflation or weaker policy credibility → lower real returns and greater economic risk → GBP may weaken.</w:t>
      </w:r>
    </w:p>
    <w:p w14:paraId="2DBD76B3" w14:textId="2E0ECC98" w:rsidR="00E24271" w:rsidRPr="00E24271" w:rsidRDefault="00E24271" w:rsidP="00E24271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rStyle w:val="Strong"/>
          <w:b w:val="0"/>
          <w:bCs w:val="0"/>
          <w:color w:val="000000"/>
        </w:rPr>
        <w:t>More credible UK fiscal and political policy → lower perceived risk → stronger demand for UK assets → GBP strengthens.</w:t>
      </w:r>
    </w:p>
    <w:p w14:paraId="587F7BBB" w14:textId="77777777" w:rsidR="00E24271" w:rsidRPr="00E24271" w:rsidRDefault="00E24271" w:rsidP="00E24271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rStyle w:val="Strong"/>
          <w:b w:val="0"/>
          <w:bCs w:val="0"/>
          <w:color w:val="000000"/>
        </w:rPr>
        <w:t>Risk-on sentiment → investors are more willing to hold growth-sensitive currencies such as GBP → GBP may strengthen. Risk-off sentiment → investors often prefer safer or more liquid currencies → GBP may weaken.</w:t>
      </w:r>
    </w:p>
    <w:p w14:paraId="2DBA9272" w14:textId="77777777" w:rsidR="00E24271" w:rsidRPr="00E24271" w:rsidRDefault="00E24271" w:rsidP="00E24271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/>
        </w:rPr>
      </w:pPr>
      <w:r w:rsidRPr="00E24271">
        <w:rPr>
          <w:rStyle w:val="Strong"/>
          <w:b w:val="0"/>
          <w:bCs w:val="0"/>
          <w:color w:val="000000"/>
        </w:rPr>
        <w:t>Final FX move = combined effect of relative rates, growth, inflation, policy credibility, risk sentiment and global demand for GBP versus EUR.</w:t>
      </w:r>
    </w:p>
    <w:p w14:paraId="08C78491" w14:textId="04012276" w:rsidR="00941AF3" w:rsidRPr="00E24271" w:rsidRDefault="006315B6" w:rsidP="00E24271">
      <w:pPr>
        <w:spacing w:after="0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Spot Rate</w:t>
      </w:r>
      <w:r w:rsidR="00941AF3"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role in the project</w:t>
      </w:r>
      <w:r w:rsidR="00E24271"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941AF3"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mainly a diagnostic rather than the preferred investable strategy.</w:t>
      </w:r>
    </w:p>
    <w:p w14:paraId="66AA46EA" w14:textId="1575334A" w:rsidR="00941AF3" w:rsidRPr="00E24271" w:rsidRDefault="00E24271" w:rsidP="00E2427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Useful</w:t>
      </w:r>
      <w:r w:rsidR="00941AF3"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</w:t>
      </w:r>
      <w:r w:rsidR="00941AF3"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answer:</w:t>
      </w:r>
      <w:r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E2427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“Did sterling strengthen or weaken when relative policy view changed?”</w:t>
      </w:r>
    </w:p>
    <w:p w14:paraId="67BD4436" w14:textId="77777777" w:rsidR="00E24271" w:rsidRPr="00E24271" w:rsidRDefault="00E24271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2D6F6357" w14:textId="77777777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  <w:t>2. One-month GBP/EUR FX forward</w:t>
      </w:r>
    </w:p>
    <w:p w14:paraId="3B219709" w14:textId="77777777" w:rsidR="000933C5" w:rsidRDefault="000933C5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Main tradable FX expression.</w:t>
      </w:r>
    </w:p>
    <w:p w14:paraId="6B5A5C39" w14:textId="4188E0B7" w:rsidR="00941AF3" w:rsidRDefault="00144BEB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Agreement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today to exchange GBP and EUR at predetermined exchange rate 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n a 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month.</w:t>
      </w:r>
    </w:p>
    <w:p w14:paraId="18D66956" w14:textId="552A2951" w:rsidR="00941AF3" w:rsidRPr="00144BEB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a relatively hawkish UK view, the project would take a position equivalent to:</w:t>
      </w:r>
      <w:r w:rsidR="00144B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144B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Long GBP forward and short EUR forward.</w:t>
      </w:r>
    </w:p>
    <w:p w14:paraId="373E1080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FX forward return has two main parts:</w:t>
      </w:r>
    </w:p>
    <w:p w14:paraId="630BBE7D" w14:textId="1996695F" w:rsidR="00941AF3" w:rsidRPr="00941AF3" w:rsidRDefault="00941AF3" w:rsidP="00941AF3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Spot movement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Sterling strengthens or weakens against the euro.</w:t>
      </w:r>
    </w:p>
    <w:p w14:paraId="54979FE5" w14:textId="67DD51D1" w:rsidR="00941AF3" w:rsidRPr="00941AF3" w:rsidRDefault="00941AF3" w:rsidP="00941AF3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Carry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/</w:t>
      </w:r>
      <w:r w:rsidRP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forward differential</w:t>
      </w:r>
      <w:r w:rsidR="006555BE" w:rsidRP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</w:t>
      </w:r>
      <w:r w:rsidRP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urn associated with UK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/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euro-area rate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differential.</w:t>
      </w:r>
    </w:p>
    <w:p w14:paraId="5284F6D3" w14:textId="1E7EEEC9" w:rsidR="00941AF3" w:rsidRPr="00941AF3" w:rsidRDefault="00941AF3" w:rsidP="006555B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So approximate long-GBP return: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Sterling appreciation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+</w:t>
      </w:r>
      <w:r w:rsid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UK rate minus euro-area rate</w:t>
      </w:r>
    </w:p>
    <w:p w14:paraId="140BBB13" w14:textId="5732BA21" w:rsidR="00941AF3" w:rsidRPr="006555BE" w:rsidRDefault="00941AF3" w:rsidP="006555B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Why use a forward instead of spot?</w:t>
      </w:r>
      <w:r w:rsidR="006555B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</w:t>
      </w:r>
      <w:r w:rsidR="006555BE" w:rsidRPr="006555B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leaner representation of a funded currency trade.</w:t>
      </w:r>
    </w:p>
    <w:p w14:paraId="53E38F06" w14:textId="4917719A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BF2CD78" w14:textId="77777777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  <w:t>3. UK–Germany two-year rates spread trade</w:t>
      </w:r>
    </w:p>
    <w:p w14:paraId="0CC14AD7" w14:textId="7DE5D600" w:rsidR="00941AF3" w:rsidRPr="00941AF3" w:rsidRDefault="000933C5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Most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direct rates expression of near-term monetary-policy divergence.</w:t>
      </w:r>
    </w:p>
    <w:p w14:paraId="13203A47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trade uses exposure to approximately two-year UK and German interest rates.</w:t>
      </w:r>
    </w:p>
    <w:p w14:paraId="5668721C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 practice, that exposure could be obtained through:</w:t>
      </w:r>
    </w:p>
    <w:p w14:paraId="7FEE7E79" w14:textId="77777777" w:rsidR="00941AF3" w:rsidRPr="00941AF3" w:rsidRDefault="00941AF3" w:rsidP="00941AF3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interest-rate futures;</w:t>
      </w:r>
    </w:p>
    <w:p w14:paraId="7B76F425" w14:textId="77777777" w:rsidR="00941AF3" w:rsidRPr="00941AF3" w:rsidRDefault="00941AF3" w:rsidP="00941AF3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government bonds;</w:t>
      </w:r>
    </w:p>
    <w:p w14:paraId="1D8129F4" w14:textId="77777777" w:rsidR="00941AF3" w:rsidRPr="00941AF3" w:rsidRDefault="00941AF3" w:rsidP="00941AF3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OIS-based instruments;</w:t>
      </w:r>
    </w:p>
    <w:p w14:paraId="7F332883" w14:textId="77777777" w:rsidR="00941AF3" w:rsidRPr="00941AF3" w:rsidRDefault="00941AF3" w:rsidP="00941AF3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swaps;</w:t>
      </w:r>
    </w:p>
    <w:p w14:paraId="68A6369A" w14:textId="77777777" w:rsidR="00941AF3" w:rsidRPr="00941AF3" w:rsidRDefault="00941AF3" w:rsidP="00941AF3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synthetic zero-coupon bond returns built from yield curves.</w:t>
      </w:r>
    </w:p>
    <w:p w14:paraId="7F1CF699" w14:textId="011DC885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Suppose the view is:</w:t>
      </w:r>
      <w:r w:rsid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BoE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will be more hawkish than the ECB.</w:t>
      </w:r>
    </w:p>
    <w:p w14:paraId="152D4AD0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That would normally imply UK short-term yields rising relative to German short-term yields.</w:t>
      </w:r>
    </w:p>
    <w:p w14:paraId="03421D01" w14:textId="707E9413" w:rsidR="00941AF3" w:rsidRPr="00941AF3" w:rsidRDefault="00941AF3" w:rsidP="000933C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position would therefore be:</w:t>
      </w:r>
      <w:r w:rsid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Short UK </w:t>
      </w:r>
      <w:r w:rsid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</w:t>
      </w:r>
      <w:r w:rsidRP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-year duration</w:t>
      </w:r>
      <w:r w:rsid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</w:t>
      </w:r>
      <w:r w:rsidRP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long German </w:t>
      </w:r>
      <w:r w:rsid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</w:t>
      </w:r>
      <w:r w:rsidRP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-year duration.</w:t>
      </w:r>
      <w:r w:rsid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(Y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ou benefit when UK two-year yields rise more than German two-year yields</w:t>
      </w:r>
      <w:r w:rsid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14:paraId="56BEBAE5" w14:textId="7C80E89F" w:rsidR="00941AF3" w:rsidRPr="000933C5" w:rsidRDefault="00941AF3" w:rsidP="000933C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0933C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Why “short duration”?</w:t>
      </w:r>
      <w:r w:rsidR="000933C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Bond prices generally fall when yields rise.</w:t>
      </w:r>
    </w:p>
    <w:p w14:paraId="3F117A57" w14:textId="57868A45" w:rsidR="00941AF3" w:rsidRPr="000933C5" w:rsidRDefault="00941AF3" w:rsidP="000933C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Why it may be especially useful</w:t>
      </w:r>
      <w:r w:rsidR="000933C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: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Two-year rates are closely connected to expected central-bank policy over the next few years.</w:t>
      </w:r>
      <w:r w:rsidR="000933C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However, two-year yields are not determined only by the next policy decision. They also include expectations about future growth, inflation and the full expected path of rates.</w:t>
      </w:r>
    </w:p>
    <w:p w14:paraId="1C8F3991" w14:textId="236E1011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DA040F9" w14:textId="77777777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  <w:t>4. UK–Germany ten-year rates spread trade</w:t>
      </w:r>
    </w:p>
    <w:p w14:paraId="47E96D5E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uses the same relative-value structure but at the longer end of the yield curve.</w:t>
      </w:r>
    </w:p>
    <w:p w14:paraId="7E8BE486" w14:textId="77777777" w:rsidR="00941AF3" w:rsidRPr="00DC7FB2" w:rsidRDefault="00941AF3" w:rsidP="00941AF3">
      <w:pPr>
        <w:spacing w:after="0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What makes it different from the two-year trade?</w:t>
      </w:r>
    </w:p>
    <w:p w14:paraId="1F660B7D" w14:textId="1A3D9065" w:rsidR="00941AF3" w:rsidRPr="00941AF3" w:rsidRDefault="00DC7FB2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10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-year yields are influenced by much more than near-term central-bank policy.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They reflect:</w:t>
      </w:r>
    </w:p>
    <w:p w14:paraId="28D38BEF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expected future short-term rates;</w:t>
      </w:r>
    </w:p>
    <w:p w14:paraId="56AC1B47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long-term inflation expectations;</w:t>
      </w:r>
    </w:p>
    <w:p w14:paraId="239F4943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government borrowing and bond supply;</w:t>
      </w:r>
    </w:p>
    <w:p w14:paraId="30CA5A58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fiscal credibility;</w:t>
      </w:r>
    </w:p>
    <w:p w14:paraId="5DF8B4FD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term premia;</w:t>
      </w:r>
    </w:p>
    <w:p w14:paraId="294431A4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economic growth;</w:t>
      </w:r>
    </w:p>
    <w:p w14:paraId="3831315A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safe-haven demand;</w:t>
      </w:r>
    </w:p>
    <w:p w14:paraId="523F1C31" w14:textId="77777777" w:rsidR="00941AF3" w:rsidRPr="00941AF3" w:rsidRDefault="00941AF3" w:rsidP="00941AF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pension and institutional demand.</w:t>
      </w:r>
    </w:p>
    <w:p w14:paraId="5A295D1D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Therefore, the ten-year spread may be a less “pure” monetary-policy trade.</w:t>
      </w:r>
    </w:p>
    <w:p w14:paraId="37E04168" w14:textId="23E1CB9F" w:rsidR="00941AF3" w:rsidRPr="00941AF3" w:rsidRDefault="00941AF3" w:rsidP="00DC7FB2">
      <w:pPr>
        <w:spacing w:after="0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Why include it?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test whether relative policy views transmit beyond the short end.</w:t>
      </w:r>
    </w:p>
    <w:p w14:paraId="3139FE63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example:</w:t>
      </w:r>
    </w:p>
    <w:p w14:paraId="18E0DA02" w14:textId="77777777" w:rsidR="00941AF3" w:rsidRPr="00941AF3" w:rsidRDefault="00941AF3" w:rsidP="00941AF3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two-year trade may react strongly and immediately to a policy surprise;</w:t>
      </w:r>
    </w:p>
    <w:p w14:paraId="0518417E" w14:textId="77777777" w:rsidR="00941AF3" w:rsidRPr="00941AF3" w:rsidRDefault="00941AF3" w:rsidP="00941AF3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ten-year trade may react more slowly;</w:t>
      </w:r>
    </w:p>
    <w:p w14:paraId="0BCCBD67" w14:textId="71B34645" w:rsidR="00941AF3" w:rsidRPr="00DC7FB2" w:rsidRDefault="00941AF3" w:rsidP="00941AF3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or the ten-year trade may be dominated by fiscal and inflation concerns.</w:t>
      </w:r>
    </w:p>
    <w:p w14:paraId="488ABFFB" w14:textId="506B1DF6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DF3D66E" w14:textId="77777777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  <w:t>5. Relative curve trade</w:t>
      </w:r>
    </w:p>
    <w:p w14:paraId="5E75F00F" w14:textId="2E864A09" w:rsidR="00941AF3" w:rsidRPr="00DC7FB2" w:rsidRDefault="00DC7FB2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Difference</w:t>
      </w:r>
      <w:r w:rsidR="00941AF3"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between short and long-term yields, rather than whether all yields rise or fall.</w:t>
      </w:r>
    </w:p>
    <w:p w14:paraId="46B4A76F" w14:textId="06FBB65C" w:rsidR="00DC7FB2" w:rsidRPr="00941AF3" w:rsidRDefault="00941AF3" w:rsidP="00DC7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project considers using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DC7FB2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10-year yield − 2-</w:t>
      </w:r>
      <w:r w:rsidR="00DC7FB2"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year yield</w:t>
      </w:r>
      <w:r w:rsidR="00DC7FB2"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</w:t>
      </w:r>
      <w:r w:rsidR="00DC7FB2"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2s10s slope</w:t>
      </w:r>
      <w:r w:rsidR="00DC7FB2" w:rsidRP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14:paraId="6CFFC903" w14:textId="77777777" w:rsidR="00941AF3" w:rsidRPr="00941AF3" w:rsidRDefault="00941AF3" w:rsidP="00941AF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Steepener</w:t>
      </w:r>
    </w:p>
    <w:p w14:paraId="2BCF6975" w14:textId="51375FAE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curve steepens when the gap between long-term and short-term yields increases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 e.g.:</w:t>
      </w:r>
    </w:p>
    <w:p w14:paraId="540B5847" w14:textId="77777777" w:rsidR="00941AF3" w:rsidRPr="00941AF3" w:rsidRDefault="00941AF3" w:rsidP="00941AF3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ten-year yields rise more than two-year yields;</w:t>
      </w:r>
    </w:p>
    <w:p w14:paraId="52468ECF" w14:textId="77777777" w:rsidR="00941AF3" w:rsidRPr="00941AF3" w:rsidRDefault="00941AF3" w:rsidP="00941AF3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two-year yields fall more than ten-year yields;</w:t>
      </w:r>
    </w:p>
    <w:p w14:paraId="77E16E11" w14:textId="77777777" w:rsidR="00941AF3" w:rsidRPr="00941AF3" w:rsidRDefault="00941AF3" w:rsidP="00941AF3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or both.</w:t>
      </w:r>
    </w:p>
    <w:p w14:paraId="1E487E56" w14:textId="77777777" w:rsidR="00941AF3" w:rsidRPr="00941AF3" w:rsidRDefault="00941AF3" w:rsidP="00941AF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Flattener</w:t>
      </w:r>
    </w:p>
    <w:p w14:paraId="5E235BF8" w14:textId="7CE02F78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curve flattens when the gap decreases.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e.g.:</w:t>
      </w:r>
    </w:p>
    <w:p w14:paraId="51940E6F" w14:textId="77777777" w:rsidR="00941AF3" w:rsidRPr="00941AF3" w:rsidRDefault="00941AF3" w:rsidP="00941AF3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two-year yields rise more than ten-year yields;</w:t>
      </w:r>
    </w:p>
    <w:p w14:paraId="37FAA92B" w14:textId="77777777" w:rsidR="00941AF3" w:rsidRPr="00941AF3" w:rsidRDefault="00941AF3" w:rsidP="00941AF3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ten-year yields fall more than two-year yields;</w:t>
      </w:r>
    </w:p>
    <w:p w14:paraId="26389F3A" w14:textId="77777777" w:rsidR="00941AF3" w:rsidRPr="00941AF3" w:rsidRDefault="00941AF3" w:rsidP="00941AF3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or both.</w:t>
      </w:r>
    </w:p>
    <w:p w14:paraId="65414E48" w14:textId="77777777" w:rsidR="00941AF3" w:rsidRPr="00941AF3" w:rsidRDefault="00941AF3" w:rsidP="00941AF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What would the project trade?</w:t>
      </w:r>
    </w:p>
    <w:p w14:paraId="156514AC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One possible construction would compare:</w:t>
      </w:r>
    </w:p>
    <w:p w14:paraId="61D6CF44" w14:textId="77777777" w:rsidR="00941AF3" w:rsidRPr="00941AF3" w:rsidRDefault="00941AF3" w:rsidP="00941AF3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UK 2s10s curve;</w:t>
      </w:r>
    </w:p>
    <w:p w14:paraId="08DA5A2B" w14:textId="77777777" w:rsidR="00941AF3" w:rsidRPr="00941AF3" w:rsidRDefault="00941AF3" w:rsidP="00941AF3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German 2s10s curve.</w:t>
      </w:r>
    </w:p>
    <w:p w14:paraId="3BC1DDC4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example, the strategy might take a position that benefits if the UK curve flattens more than the German curve following relatively hawkish UK policy.</w:t>
      </w:r>
    </w:p>
    <w:p w14:paraId="63FE637C" w14:textId="77777777" w:rsidR="00DC7FB2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That could involve combinations such as: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Short UK 2Y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,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Long UK 10Y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vs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Long German 2Y</w:t>
      </w:r>
      <w:r w:rsidR="00DC7F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,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Short German 10Y</w:t>
      </w:r>
    </w:p>
    <w:p w14:paraId="7ED3FD1B" w14:textId="5F29DC89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The project bible deliberately does not prescribe one curve position yet.</w:t>
      </w:r>
    </w:p>
    <w:p w14:paraId="25A1E07C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relatively hawkish Bank of England does not always produce the same curve reaction:</w:t>
      </w:r>
    </w:p>
    <w:p w14:paraId="4E2DA945" w14:textId="77777777" w:rsidR="00941AF3" w:rsidRPr="00941AF3" w:rsidRDefault="00941AF3" w:rsidP="00941AF3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two-year yield might rise sharply, flattening the curve;</w:t>
      </w:r>
    </w:p>
    <w:p w14:paraId="48C3AD0F" w14:textId="77777777" w:rsidR="00941AF3" w:rsidRPr="00941AF3" w:rsidRDefault="00941AF3" w:rsidP="00941AF3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inflation or fiscal concerns might instead push up long-term yields;</w:t>
      </w:r>
    </w:p>
    <w:p w14:paraId="15D2EEFF" w14:textId="77777777" w:rsidR="00941AF3" w:rsidRPr="00941AF3" w:rsidRDefault="00941AF3" w:rsidP="00941AF3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market might believe aggressive tightening will cause a recession, lowering longer-term yields.</w:t>
      </w:r>
    </w:p>
    <w:p w14:paraId="5827583E" w14:textId="6D3B1D91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The curve trade should therefore only be included once </w:t>
      </w:r>
      <w:r w:rsidR="00AF456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can explain:</w:t>
      </w:r>
    </w:p>
    <w:p w14:paraId="787137C8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“Why should this specific UK-versus-Germany curve position profit from our particular macro view?”</w:t>
      </w:r>
    </w:p>
    <w:p w14:paraId="2A75FE20" w14:textId="386952A4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BA2DEE1" w14:textId="77777777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eastAsia="en-GB"/>
          <w14:ligatures w14:val="none"/>
        </w:rPr>
        <w:t>6. Cross-asset rates–FX basket</w:t>
      </w:r>
    </w:p>
    <w:p w14:paraId="6329CAAD" w14:textId="6FA6ACF5" w:rsidR="00941AF3" w:rsidRPr="00941AF3" w:rsidRDefault="0087081D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Portfolio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combining several of the previous expressions.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e.g.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</w:p>
    <w:p w14:paraId="55512ADC" w14:textId="77777777" w:rsidR="00941AF3" w:rsidRPr="00941AF3" w:rsidRDefault="00941AF3" w:rsidP="00941AF3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GBP/EUR forward;</w:t>
      </w:r>
    </w:p>
    <w:p w14:paraId="25E62CDD" w14:textId="77777777" w:rsidR="00941AF3" w:rsidRPr="00941AF3" w:rsidRDefault="00941AF3" w:rsidP="00941AF3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UK–Germany two-year rates trade;</w:t>
      </w:r>
    </w:p>
    <w:p w14:paraId="0A53E631" w14:textId="77777777" w:rsidR="00941AF3" w:rsidRPr="00941AF3" w:rsidRDefault="00941AF3" w:rsidP="00941AF3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possibly the ten-year or curve trade.</w:t>
      </w:r>
    </w:p>
    <w:p w14:paraId="11B1EA57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Suppose the signal says the UK is becoming more hawkish relative to the euro area.</w:t>
      </w:r>
    </w:p>
    <w:p w14:paraId="7177BA82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basket might take:</w:t>
      </w:r>
    </w:p>
    <w:p w14:paraId="193B0231" w14:textId="77777777" w:rsidR="00941AF3" w:rsidRPr="00941AF3" w:rsidRDefault="00941AF3" w:rsidP="00941AF3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long GBP versus EUR;</w:t>
      </w:r>
    </w:p>
    <w:p w14:paraId="07CFDA1C" w14:textId="77777777" w:rsidR="00941AF3" w:rsidRPr="00941AF3" w:rsidRDefault="00941AF3" w:rsidP="00941AF3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short UK two-year duration versus long German two-year duration;</w:t>
      </w:r>
    </w:p>
    <w:p w14:paraId="4BEF2283" w14:textId="77777777" w:rsidR="00941AF3" w:rsidRPr="00941AF3" w:rsidRDefault="00941AF3" w:rsidP="00941AF3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possibly another approved relative-rates position.</w:t>
      </w:r>
    </w:p>
    <w:p w14:paraId="300BDA3A" w14:textId="77777777" w:rsidR="00941AF3" w:rsidRPr="00941AF3" w:rsidRDefault="00941AF3" w:rsidP="00941AF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Why combine them?</w:t>
      </w:r>
    </w:p>
    <w:p w14:paraId="405DCF3E" w14:textId="2A5861A6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same macro view can transmit through different channels.</w:t>
      </w:r>
    </w:p>
    <w:p w14:paraId="69E463B9" w14:textId="77777777" w:rsidR="00941AF3" w:rsidRPr="00941AF3" w:rsidRDefault="00941AF3" w:rsidP="00941AF3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rates trade may react immediately to a policy announcement;</w:t>
      </w:r>
    </w:p>
    <w:p w14:paraId="79D2A71D" w14:textId="77777777" w:rsidR="00941AF3" w:rsidRPr="00941AF3" w:rsidRDefault="00941AF3" w:rsidP="00941AF3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sterling may initially fall because the announcement also signals weak UK growth;</w:t>
      </w:r>
    </w:p>
    <w:p w14:paraId="21620DDB" w14:textId="77777777" w:rsidR="00941AF3" w:rsidRPr="00941AF3" w:rsidRDefault="00941AF3" w:rsidP="00941AF3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FX may then adjust over a longer horizon;</w:t>
      </w:r>
    </w:p>
    <w:p w14:paraId="49BA49DF" w14:textId="77777777" w:rsidR="00941AF3" w:rsidRPr="00941AF3" w:rsidRDefault="00941AF3" w:rsidP="00941AF3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rates position may reverse after the initial repricing.</w:t>
      </w:r>
    </w:p>
    <w:p w14:paraId="6FD16A33" w14:textId="4FE41A11" w:rsidR="00745F8E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Combining the expressions may produce a more stable result than relying on one market.</w:t>
      </w:r>
    </w:p>
    <w:p w14:paraId="3E0841AA" w14:textId="00EE65E8" w:rsidR="00941AF3" w:rsidRPr="00745F8E" w:rsidRDefault="00941AF3" w:rsidP="00941AF3">
      <w:pPr>
        <w:spacing w:after="0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u w:val="single"/>
          <w:lang w:eastAsia="en-GB"/>
          <w14:ligatures w14:val="none"/>
        </w:rPr>
      </w:pPr>
      <w:r w:rsidRPr="00745F8E">
        <w:rPr>
          <w:rFonts w:ascii="Times New Roman" w:eastAsia="Times New Roman" w:hAnsi="Times New Roman" w:cs="Times New Roman"/>
          <w:color w:val="000000"/>
          <w:kern w:val="0"/>
          <w:u w:val="single"/>
          <w:lang w:eastAsia="en-GB"/>
          <w14:ligatures w14:val="none"/>
        </w:rPr>
        <w:t>Equal-risk rather than equal-money weighting</w:t>
      </w:r>
    </w:p>
    <w:p w14:paraId="32C18007" w14:textId="77777777" w:rsidR="00745F8E" w:rsidRDefault="00941AF3" w:rsidP="00745F8E">
      <w:pPr>
        <w:pStyle w:val="ListParagraph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project recommends an </w:t>
      </w:r>
      <w:r w:rsidRPr="00745F8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equal-risk basket</w:t>
      </w:r>
      <w:r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  <w:r w:rsid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That means you do not simply put £1 into each position.</w:t>
      </w:r>
      <w:r w:rsid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Instead, each component is scaled so it contributes approximately the same amount of expected volatility.</w:t>
      </w:r>
    </w:p>
    <w:p w14:paraId="6B77E242" w14:textId="1ED6D54C" w:rsidR="00745F8E" w:rsidRPr="00745F8E" w:rsidRDefault="00941AF3" w:rsidP="00745F8E">
      <w:pPr>
        <w:pStyle w:val="ListParagraph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example:</w:t>
      </w:r>
      <w:r w:rsidR="00745F8E"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</w:p>
    <w:p w14:paraId="7FC3CDAF" w14:textId="77777777" w:rsidR="00745F8E" w:rsidRDefault="00941AF3" w:rsidP="00745F8E">
      <w:pPr>
        <w:pStyle w:val="ListParagraph"/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FX component expected volatility: 8%</w:t>
      </w:r>
    </w:p>
    <w:p w14:paraId="5438BC45" w14:textId="77777777" w:rsidR="00745F8E" w:rsidRDefault="00941AF3" w:rsidP="00941AF3">
      <w:pPr>
        <w:pStyle w:val="ListParagraph"/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Rates component expected volatility: 4%</w:t>
      </w:r>
    </w:p>
    <w:p w14:paraId="16AF2A30" w14:textId="3A9A70B0" w:rsidR="00941AF3" w:rsidRPr="00745F8E" w:rsidRDefault="00745F8E" w:rsidP="00941AF3">
      <w:pPr>
        <w:pStyle w:val="ListParagraph"/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Larger notional for r</w:t>
      </w:r>
      <w:r w:rsidR="00941AF3"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ates trade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745F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place it on a comparable risk basis.</w:t>
      </w:r>
    </w:p>
    <w:p w14:paraId="5F2195C7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basket asks whether diversification:</w:t>
      </w:r>
    </w:p>
    <w:p w14:paraId="267BE5DC" w14:textId="77777777" w:rsidR="00941AF3" w:rsidRPr="00941AF3" w:rsidRDefault="00941AF3" w:rsidP="00941AF3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reduces drawdowns;</w:t>
      </w:r>
    </w:p>
    <w:p w14:paraId="7A2DF858" w14:textId="77777777" w:rsidR="00941AF3" w:rsidRPr="00941AF3" w:rsidRDefault="00941AF3" w:rsidP="00941AF3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makes performance more stable across regimes;</w:t>
      </w:r>
    </w:p>
    <w:p w14:paraId="509D367D" w14:textId="77777777" w:rsidR="00941AF3" w:rsidRPr="00941AF3" w:rsidRDefault="00941AF3" w:rsidP="00941AF3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reduces dependence on one instrument;</w:t>
      </w:r>
    </w:p>
    <w:p w14:paraId="3A403041" w14:textId="77777777" w:rsidR="00941AF3" w:rsidRPr="00941AF3" w:rsidRDefault="00941AF3" w:rsidP="00941AF3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sacrifices some peak return but improves reliability.</w:t>
      </w:r>
    </w:p>
    <w:p w14:paraId="265020D7" w14:textId="77777777" w:rsidR="0087081D" w:rsidRDefault="0087081D" w:rsidP="00941A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4C26390" w14:textId="77777777" w:rsidR="0087081D" w:rsidRDefault="0087081D" w:rsidP="00941A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CA23752" w14:textId="77777777" w:rsidR="0042588F" w:rsidRDefault="0042588F" w:rsidP="00941A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1B94C58" w14:textId="77777777" w:rsidR="0042588F" w:rsidRPr="00941AF3" w:rsidRDefault="0042588F" w:rsidP="0042588F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clearest way to understand the project is:</w:t>
      </w:r>
    </w:p>
    <w:p w14:paraId="6CB2BED5" w14:textId="77777777" w:rsidR="0042588F" w:rsidRPr="00941AF3" w:rsidRDefault="0042588F" w:rsidP="0042588F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FX forward: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Does the policy view show up in sterling?</w:t>
      </w:r>
    </w:p>
    <w:p w14:paraId="204FDCC1" w14:textId="77777777" w:rsidR="0042588F" w:rsidRPr="00941AF3" w:rsidRDefault="0042588F" w:rsidP="0042588F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Two-year spread: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Does it show up directly in expected central-bank rates?</w:t>
      </w:r>
    </w:p>
    <w:p w14:paraId="32D496D4" w14:textId="77777777" w:rsidR="0042588F" w:rsidRPr="00941AF3" w:rsidRDefault="0042588F" w:rsidP="0042588F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Ten-year spread: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Does it extend into long-term yields?</w:t>
      </w:r>
    </w:p>
    <w:p w14:paraId="20AB1E21" w14:textId="77777777" w:rsidR="0042588F" w:rsidRPr="00941AF3" w:rsidRDefault="0042588F" w:rsidP="0042588F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Curve trade: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Does it change the shape of expected rates differently across countries?</w:t>
      </w:r>
    </w:p>
    <w:p w14:paraId="5FAFAD08" w14:textId="77777777" w:rsidR="0042588F" w:rsidRPr="00941AF3" w:rsidRDefault="0042588F" w:rsidP="0042588F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Basket: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Can several imperfect expressions be combined into a more stable one?</w:t>
      </w:r>
    </w:p>
    <w:p w14:paraId="006BD606" w14:textId="77777777" w:rsidR="0042588F" w:rsidRDefault="0042588F">
      <w:pPr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  <w:br w:type="page"/>
      </w:r>
    </w:p>
    <w:p w14:paraId="39D27E7F" w14:textId="4B9DD11B" w:rsidR="00941AF3" w:rsidRPr="001432FA" w:rsidRDefault="001432FA" w:rsidP="00941AF3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  <w:lang w:eastAsia="en-GB"/>
          <w14:ligatures w14:val="none"/>
        </w:rPr>
        <w:lastRenderedPageBreak/>
        <w:t xml:space="preserve">Implementation Hierarchy: </w:t>
      </w:r>
      <w:r w:rsidR="00941AF3" w:rsidRPr="001432FA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  <w:lang w:eastAsia="en-GB"/>
          <w14:ligatures w14:val="none"/>
        </w:rPr>
        <w:t>What instruments could sit underneath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  <w:lang w:eastAsia="en-GB"/>
          <w14:ligatures w14:val="none"/>
        </w:rPr>
        <w:t xml:space="preserve"> </w:t>
      </w:r>
      <w:r w:rsidR="00941AF3" w:rsidRPr="001432FA">
        <w:rPr>
          <w:rFonts w:ascii="Times New Roman" w:eastAsia="Times New Roman" w:hAnsi="Times New Roman" w:cs="Times New Roman"/>
          <w:b/>
          <w:bCs/>
          <w:color w:val="000000"/>
          <w:kern w:val="36"/>
          <w:sz w:val="26"/>
          <w:szCs w:val="26"/>
          <w:lang w:eastAsia="en-GB"/>
          <w14:ligatures w14:val="none"/>
        </w:rPr>
        <w:t>rates trades?</w:t>
      </w:r>
    </w:p>
    <w:p w14:paraId="023B3F31" w14:textId="53B20238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“UK–Germany two-year spread” describes the </w:t>
      </w:r>
      <w:r w:rsidRPr="001432F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economic </w:t>
      </w:r>
      <w:r w:rsidR="001432FA" w:rsidRPr="001432F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exposure but</w:t>
      </w:r>
      <w:r w:rsidRPr="001432F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still need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choose the instrument used to create that exposure.</w:t>
      </w:r>
    </w:p>
    <w:p w14:paraId="2007DB44" w14:textId="77777777" w:rsidR="001432FA" w:rsidRDefault="001432FA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6ABE0351" w14:textId="14D73B3A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A. Futures or observed total-return instruments</w:t>
      </w:r>
    </w:p>
    <w:p w14:paraId="45BE6458" w14:textId="77777777" w:rsidR="00941AF3" w:rsidRPr="00941AF3" w:rsidRDefault="00941AF3" w:rsidP="00941AF3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UK government bond futures;</w:t>
      </w:r>
    </w:p>
    <w:p w14:paraId="341C5618" w14:textId="77777777" w:rsidR="00941AF3" w:rsidRPr="00941AF3" w:rsidRDefault="00941AF3" w:rsidP="00941AF3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German government bond futures;</w:t>
      </w:r>
    </w:p>
    <w:p w14:paraId="3E1FA432" w14:textId="77777777" w:rsidR="00941AF3" w:rsidRPr="00941AF3" w:rsidRDefault="00941AF3" w:rsidP="00941AF3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short-term interest-rate futures;</w:t>
      </w:r>
    </w:p>
    <w:p w14:paraId="5EEAE4F5" w14:textId="77777777" w:rsidR="00941AF3" w:rsidRPr="00941AF3" w:rsidRDefault="00941AF3" w:rsidP="00941AF3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bond or rates total-return indices.</w:t>
      </w:r>
    </w:p>
    <w:p w14:paraId="6868B4EF" w14:textId="52BC2BFF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These are the closest to real historical tradable returns.</w:t>
      </w:r>
      <w:r w:rsidR="00DD3C1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However, matching exact two-year and ten-year exposures may not always be straightforward. Some futures contracts represent a basket of eligible bonds rather than one constant-maturity yield.</w:t>
      </w:r>
    </w:p>
    <w:p w14:paraId="3A4288FA" w14:textId="77777777" w:rsidR="001432FA" w:rsidRDefault="001432FA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13F22CA3" w14:textId="6F0BFF00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B. Synthetic zero-coupon bonds</w:t>
      </w:r>
    </w:p>
    <w:p w14:paraId="0AB7A608" w14:textId="30BB7564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example, using a two-year zero rate, you can estimate the value of a theoretical bond that pays £1 in two years.</w:t>
      </w:r>
      <w:r w:rsidR="0042588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As time moves forward:</w:t>
      </w:r>
    </w:p>
    <w:p w14:paraId="42693116" w14:textId="77777777" w:rsidR="00941AF3" w:rsidRPr="00941AF3" w:rsidRDefault="00941AF3" w:rsidP="00941AF3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its maturity shortens;</w:t>
      </w:r>
    </w:p>
    <w:p w14:paraId="588CEAF6" w14:textId="77777777" w:rsidR="00941AF3" w:rsidRPr="00941AF3" w:rsidRDefault="00941AF3" w:rsidP="00941AF3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its yield changes;</w:t>
      </w:r>
    </w:p>
    <w:p w14:paraId="311ED4A2" w14:textId="77777777" w:rsidR="00941AF3" w:rsidRPr="00941AF3" w:rsidRDefault="00941AF3" w:rsidP="00941AF3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its theoretical price changes;</w:t>
      </w:r>
    </w:p>
    <w:p w14:paraId="06D00899" w14:textId="77777777" w:rsidR="00941AF3" w:rsidRPr="00941AF3" w:rsidRDefault="00941AF3" w:rsidP="00941AF3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carry and roll-down can be captured.</w:t>
      </w:r>
    </w:p>
    <w:p w14:paraId="4A01BF05" w14:textId="1CBEE222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produces a more economically meaningful return than simply using the daily change in a yield.</w:t>
      </w:r>
      <w:r w:rsidR="0042588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But it is still a:</w:t>
      </w:r>
      <w:r w:rsidR="0042588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Modelled synthetic return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not a directly observed market trade.</w:t>
      </w:r>
    </w:p>
    <w:p w14:paraId="4A2E2ED7" w14:textId="77777777" w:rsidR="001432FA" w:rsidRDefault="001432FA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4009FED4" w14:textId="258DC0E7" w:rsidR="00941AF3" w:rsidRPr="00941AF3" w:rsidRDefault="00941AF3" w:rsidP="00941AF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C. DV01 approximation</w:t>
      </w:r>
    </w:p>
    <w:p w14:paraId="5A81E6F4" w14:textId="77777777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simplest fallback is to approximate P&amp;L from yield changes:</w:t>
      </w:r>
    </w:p>
    <w:p w14:paraId="4485F39C" w14:textId="77777777" w:rsidR="00941AF3" w:rsidRPr="00941AF3" w:rsidRDefault="00941AF3" w:rsidP="00941A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Approximate P&amp;L ≈ −Duration × change in yield</w:t>
      </w:r>
    </w:p>
    <w:p w14:paraId="565B918E" w14:textId="34812507" w:rsidR="00941AF3" w:rsidRPr="00941AF3" w:rsidRDefault="00941AF3" w:rsidP="0042588F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or using DV01:</w:t>
      </w:r>
      <w:r w:rsidR="0042588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Approximate P&amp;L ≈ position DV01 × yield movement</w:t>
      </w:r>
    </w:p>
    <w:p w14:paraId="0AAF9884" w14:textId="6F21E67D" w:rsidR="00941AF3" w:rsidRPr="00941AF3" w:rsidRDefault="0042588F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Should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be labelled as an </w:t>
      </w:r>
      <w:r w:rsidR="00941AF3" w:rsidRPr="00941AF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approximate P&amp;L proxy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not a directly tradable return. </w:t>
      </w:r>
    </w:p>
    <w:p w14:paraId="544B5534" w14:textId="77777777" w:rsidR="001432FA" w:rsidRDefault="001432FA" w:rsidP="00941AF3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</w:pPr>
    </w:p>
    <w:p w14:paraId="0D7AB096" w14:textId="68C7CE89" w:rsidR="00941AF3" w:rsidRPr="00941AF3" w:rsidRDefault="00941AF3" w:rsidP="00941AF3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  <w:t>Why the two legs must be DV01-balanced</w:t>
      </w:r>
    </w:p>
    <w:p w14:paraId="49A9681E" w14:textId="765E8CB0" w:rsidR="00941AF3" w:rsidRPr="00941AF3" w:rsidRDefault="0042588F" w:rsidP="0042588F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Cannot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compare £1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m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UK bond position with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£1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m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German bond position purely by notional value.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two bonds may have different: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durations;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coupons;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yields;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941AF3"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price sensitivity.</w:t>
      </w:r>
    </w:p>
    <w:p w14:paraId="030C2C5B" w14:textId="78B02BE4" w:rsidR="00941AF3" w:rsidRPr="00941AF3" w:rsidRDefault="00941AF3" w:rsidP="00941AF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Instead, choose quantities so a one-basis-point move has </w:t>
      </w:r>
      <w:r w:rsidR="0042588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approx. 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same effect on each leg:</w:t>
      </w:r>
    </w:p>
    <w:p w14:paraId="050E504A" w14:textId="77777777" w:rsidR="00941AF3" w:rsidRPr="00941AF3" w:rsidRDefault="00941AF3" w:rsidP="006D7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UK position DV01 = German position DV01</w:t>
      </w:r>
    </w:p>
    <w:p w14:paraId="112AE754" w14:textId="45FEFB32" w:rsidR="00941AF3" w:rsidRPr="00941AF3" w:rsidRDefault="00941AF3" w:rsidP="006D7D5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That means the trade profit</w:t>
      </w:r>
      <w:r w:rsidR="0042588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s </w:t>
      </w:r>
      <w:r w:rsidRPr="0042588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from relative movement between UK and German yields, rather than accidentally being dominated</w:t>
      </w:r>
      <w:r w:rsidRPr="00941AF3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by whichever bond has greater interest-rate sensitivity.</w:t>
      </w:r>
    </w:p>
    <w:p w14:paraId="714AB44A" w14:textId="3DB1DA8C" w:rsidR="0042588F" w:rsidRDefault="0042588F" w:rsidP="006D7D5B">
      <w:pPr>
        <w:spacing w:after="0"/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</w:pPr>
    </w:p>
    <w:p w14:paraId="35F92DB8" w14:textId="61F78F8B" w:rsidR="00941AF3" w:rsidRPr="00941AF3" w:rsidRDefault="00941AF3" w:rsidP="006D7D5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</w:pPr>
      <w:r w:rsidRPr="00941AF3">
        <w:rPr>
          <w:rFonts w:ascii="Times New Roman" w:eastAsia="Times New Roman" w:hAnsi="Times New Roman" w:cs="Times New Roman"/>
          <w:b/>
          <w:bCs/>
          <w:color w:val="000000"/>
          <w:kern w:val="36"/>
          <w:lang w:eastAsia="en-GB"/>
          <w14:ligatures w14:val="none"/>
        </w:rPr>
        <w:t>Simple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3765"/>
        <w:gridCol w:w="3610"/>
      </w:tblGrid>
      <w:tr w:rsidR="00941AF3" w:rsidRPr="00941AF3" w14:paraId="7D2246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5BC481" w14:textId="77777777" w:rsidR="00941AF3" w:rsidRPr="00941AF3" w:rsidRDefault="00941AF3" w:rsidP="006D7D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941AF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628E5643" w14:textId="77777777" w:rsidR="00941AF3" w:rsidRPr="00941AF3" w:rsidRDefault="00941AF3" w:rsidP="006D7D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941AF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Basic position for hawkish UK view</w:t>
            </w:r>
          </w:p>
        </w:tc>
        <w:tc>
          <w:tcPr>
            <w:tcW w:w="0" w:type="auto"/>
            <w:vAlign w:val="center"/>
            <w:hideMark/>
          </w:tcPr>
          <w:p w14:paraId="09903A89" w14:textId="77777777" w:rsidR="00941AF3" w:rsidRPr="00941AF3" w:rsidRDefault="00941AF3" w:rsidP="006D7D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941AF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Main thing being traded</w:t>
            </w:r>
          </w:p>
        </w:tc>
      </w:tr>
      <w:tr w:rsidR="00941AF3" w:rsidRPr="00941AF3" w14:paraId="63FC52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1C775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EUR/GBP spot</w:t>
            </w:r>
          </w:p>
        </w:tc>
        <w:tc>
          <w:tcPr>
            <w:tcW w:w="0" w:type="auto"/>
            <w:vAlign w:val="center"/>
            <w:hideMark/>
          </w:tcPr>
          <w:p w14:paraId="247DA866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Long GBP, short EUR</w:t>
            </w:r>
          </w:p>
        </w:tc>
        <w:tc>
          <w:tcPr>
            <w:tcW w:w="0" w:type="auto"/>
            <w:vAlign w:val="center"/>
            <w:hideMark/>
          </w:tcPr>
          <w:p w14:paraId="03B2232E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Immediate currency movement</w:t>
            </w:r>
          </w:p>
        </w:tc>
      </w:tr>
      <w:tr w:rsidR="00941AF3" w:rsidRPr="00941AF3" w14:paraId="4C4EEB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9B0EF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1M FX forward</w:t>
            </w:r>
          </w:p>
        </w:tc>
        <w:tc>
          <w:tcPr>
            <w:tcW w:w="0" w:type="auto"/>
            <w:vAlign w:val="center"/>
            <w:hideMark/>
          </w:tcPr>
          <w:p w14:paraId="5D35B530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Long GBP forward, short EUR forward</w:t>
            </w:r>
          </w:p>
        </w:tc>
        <w:tc>
          <w:tcPr>
            <w:tcW w:w="0" w:type="auto"/>
            <w:vAlign w:val="center"/>
            <w:hideMark/>
          </w:tcPr>
          <w:p w14:paraId="7074CFA5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Currency movement plus carry</w:t>
            </w:r>
          </w:p>
        </w:tc>
      </w:tr>
      <w:tr w:rsidR="00941AF3" w:rsidRPr="00941AF3" w14:paraId="5C094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2F8C7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UK–Germany 2Y</w:t>
            </w:r>
          </w:p>
        </w:tc>
        <w:tc>
          <w:tcPr>
            <w:tcW w:w="0" w:type="auto"/>
            <w:vAlign w:val="center"/>
            <w:hideMark/>
          </w:tcPr>
          <w:p w14:paraId="0EFEA9FC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Short UK 2Y, long German 2Y</w:t>
            </w:r>
          </w:p>
        </w:tc>
        <w:tc>
          <w:tcPr>
            <w:tcW w:w="0" w:type="auto"/>
            <w:vAlign w:val="center"/>
            <w:hideMark/>
          </w:tcPr>
          <w:p w14:paraId="5ACBEB28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Near-term policy-path divergence</w:t>
            </w:r>
          </w:p>
        </w:tc>
      </w:tr>
      <w:tr w:rsidR="00941AF3" w:rsidRPr="00941AF3" w14:paraId="546FD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E497F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UK–Germany 10Y</w:t>
            </w:r>
          </w:p>
        </w:tc>
        <w:tc>
          <w:tcPr>
            <w:tcW w:w="0" w:type="auto"/>
            <w:vAlign w:val="center"/>
            <w:hideMark/>
          </w:tcPr>
          <w:p w14:paraId="1B3680AE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Short UK 10Y, long German 10Y</w:t>
            </w:r>
          </w:p>
        </w:tc>
        <w:tc>
          <w:tcPr>
            <w:tcW w:w="0" w:type="auto"/>
            <w:vAlign w:val="center"/>
            <w:hideMark/>
          </w:tcPr>
          <w:p w14:paraId="14F34A23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Longer-term rates divergence</w:t>
            </w:r>
          </w:p>
        </w:tc>
      </w:tr>
      <w:tr w:rsidR="00941AF3" w:rsidRPr="00941AF3" w14:paraId="287DA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E0408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Relative curve</w:t>
            </w:r>
          </w:p>
        </w:tc>
        <w:tc>
          <w:tcPr>
            <w:tcW w:w="0" w:type="auto"/>
            <w:vAlign w:val="center"/>
            <w:hideMark/>
          </w:tcPr>
          <w:p w14:paraId="68ED865D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UK curve position versus German curve position</w:t>
            </w:r>
          </w:p>
        </w:tc>
        <w:tc>
          <w:tcPr>
            <w:tcW w:w="0" w:type="auto"/>
            <w:vAlign w:val="center"/>
            <w:hideMark/>
          </w:tcPr>
          <w:p w14:paraId="7B48875B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Different movement of short and long rates</w:t>
            </w:r>
          </w:p>
        </w:tc>
      </w:tr>
      <w:tr w:rsidR="00941AF3" w:rsidRPr="00941AF3" w14:paraId="09EF16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E7689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Rates–FX basket</w:t>
            </w:r>
          </w:p>
        </w:tc>
        <w:tc>
          <w:tcPr>
            <w:tcW w:w="0" w:type="auto"/>
            <w:vAlign w:val="center"/>
            <w:hideMark/>
          </w:tcPr>
          <w:p w14:paraId="29865C4F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Combination of approved trades</w:t>
            </w:r>
          </w:p>
        </w:tc>
        <w:tc>
          <w:tcPr>
            <w:tcW w:w="0" w:type="auto"/>
            <w:vAlign w:val="center"/>
            <w:hideMark/>
          </w:tcPr>
          <w:p w14:paraId="229003D0" w14:textId="77777777" w:rsidR="00941AF3" w:rsidRPr="0042588F" w:rsidRDefault="00941AF3" w:rsidP="006D7D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88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GB"/>
                <w14:ligatures w14:val="none"/>
              </w:rPr>
              <w:t>Diversified expression of the same macro view</w:t>
            </w:r>
          </w:p>
        </w:tc>
      </w:tr>
    </w:tbl>
    <w:p w14:paraId="47D27EAC" w14:textId="77777777" w:rsidR="00941AF3" w:rsidRPr="00941AF3" w:rsidRDefault="00941AF3" w:rsidP="006D7D5B">
      <w:pPr>
        <w:spacing w:after="0"/>
      </w:pPr>
    </w:p>
    <w:sectPr w:rsidR="00941AF3" w:rsidRPr="00941A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B921A9"/>
    <w:multiLevelType w:val="multilevel"/>
    <w:tmpl w:val="34565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06031"/>
    <w:multiLevelType w:val="hybridMultilevel"/>
    <w:tmpl w:val="8FE2325C"/>
    <w:lvl w:ilvl="0" w:tplc="7E9483D8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250DF"/>
    <w:multiLevelType w:val="multilevel"/>
    <w:tmpl w:val="99F4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66D37"/>
    <w:multiLevelType w:val="multilevel"/>
    <w:tmpl w:val="6980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84600"/>
    <w:multiLevelType w:val="multilevel"/>
    <w:tmpl w:val="3F9E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91BF6"/>
    <w:multiLevelType w:val="multilevel"/>
    <w:tmpl w:val="DA5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F05E3E"/>
    <w:multiLevelType w:val="multilevel"/>
    <w:tmpl w:val="6A66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D1897"/>
    <w:multiLevelType w:val="multilevel"/>
    <w:tmpl w:val="0AF6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F6865"/>
    <w:multiLevelType w:val="multilevel"/>
    <w:tmpl w:val="6392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734CF"/>
    <w:multiLevelType w:val="multilevel"/>
    <w:tmpl w:val="3EA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23095"/>
    <w:multiLevelType w:val="multilevel"/>
    <w:tmpl w:val="FDC8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3266DC"/>
    <w:multiLevelType w:val="multilevel"/>
    <w:tmpl w:val="A9EA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D438E"/>
    <w:multiLevelType w:val="multilevel"/>
    <w:tmpl w:val="D9E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B07E48"/>
    <w:multiLevelType w:val="multilevel"/>
    <w:tmpl w:val="B9EE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9290B"/>
    <w:multiLevelType w:val="multilevel"/>
    <w:tmpl w:val="72F0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E14184"/>
    <w:multiLevelType w:val="multilevel"/>
    <w:tmpl w:val="50AC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325D37"/>
    <w:multiLevelType w:val="multilevel"/>
    <w:tmpl w:val="A5E4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4409F"/>
    <w:multiLevelType w:val="hybridMultilevel"/>
    <w:tmpl w:val="BF5CDE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E0D63"/>
    <w:multiLevelType w:val="multilevel"/>
    <w:tmpl w:val="8AE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76616A"/>
    <w:multiLevelType w:val="multilevel"/>
    <w:tmpl w:val="B400F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53056"/>
    <w:multiLevelType w:val="multilevel"/>
    <w:tmpl w:val="FE42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CC78C4"/>
    <w:multiLevelType w:val="multilevel"/>
    <w:tmpl w:val="7FFC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F60298"/>
    <w:multiLevelType w:val="multilevel"/>
    <w:tmpl w:val="641C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9138B1"/>
    <w:multiLevelType w:val="multilevel"/>
    <w:tmpl w:val="6046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2E67CF"/>
    <w:multiLevelType w:val="multilevel"/>
    <w:tmpl w:val="6E3A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EA44B3"/>
    <w:multiLevelType w:val="multilevel"/>
    <w:tmpl w:val="9FF6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E06A84"/>
    <w:multiLevelType w:val="multilevel"/>
    <w:tmpl w:val="516AB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3E42AA"/>
    <w:multiLevelType w:val="multilevel"/>
    <w:tmpl w:val="4774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267A16"/>
    <w:multiLevelType w:val="multilevel"/>
    <w:tmpl w:val="CC8E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37871"/>
    <w:multiLevelType w:val="multilevel"/>
    <w:tmpl w:val="B7D8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74738E"/>
    <w:multiLevelType w:val="multilevel"/>
    <w:tmpl w:val="B3AC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8923">
    <w:abstractNumId w:val="3"/>
  </w:num>
  <w:num w:numId="2" w16cid:durableId="314727682">
    <w:abstractNumId w:val="29"/>
  </w:num>
  <w:num w:numId="3" w16cid:durableId="2048603207">
    <w:abstractNumId w:val="26"/>
  </w:num>
  <w:num w:numId="4" w16cid:durableId="2146967170">
    <w:abstractNumId w:val="25"/>
  </w:num>
  <w:num w:numId="5" w16cid:durableId="10306480">
    <w:abstractNumId w:val="6"/>
  </w:num>
  <w:num w:numId="6" w16cid:durableId="500659409">
    <w:abstractNumId w:val="30"/>
  </w:num>
  <w:num w:numId="7" w16cid:durableId="1238318916">
    <w:abstractNumId w:val="21"/>
  </w:num>
  <w:num w:numId="8" w16cid:durableId="484860236">
    <w:abstractNumId w:val="23"/>
  </w:num>
  <w:num w:numId="9" w16cid:durableId="633291233">
    <w:abstractNumId w:val="27"/>
  </w:num>
  <w:num w:numId="10" w16cid:durableId="1534341007">
    <w:abstractNumId w:val="13"/>
  </w:num>
  <w:num w:numId="11" w16cid:durableId="618414372">
    <w:abstractNumId w:val="18"/>
  </w:num>
  <w:num w:numId="12" w16cid:durableId="1245451770">
    <w:abstractNumId w:val="24"/>
  </w:num>
  <w:num w:numId="13" w16cid:durableId="1944654164">
    <w:abstractNumId w:val="20"/>
  </w:num>
  <w:num w:numId="14" w16cid:durableId="868032497">
    <w:abstractNumId w:val="0"/>
  </w:num>
  <w:num w:numId="15" w16cid:durableId="644244089">
    <w:abstractNumId w:val="8"/>
  </w:num>
  <w:num w:numId="16" w16cid:durableId="739868007">
    <w:abstractNumId w:val="5"/>
  </w:num>
  <w:num w:numId="17" w16cid:durableId="1562784442">
    <w:abstractNumId w:val="7"/>
  </w:num>
  <w:num w:numId="18" w16cid:durableId="1843813402">
    <w:abstractNumId w:val="16"/>
  </w:num>
  <w:num w:numId="19" w16cid:durableId="674840836">
    <w:abstractNumId w:val="4"/>
  </w:num>
  <w:num w:numId="20" w16cid:durableId="1641959453">
    <w:abstractNumId w:val="2"/>
  </w:num>
  <w:num w:numId="21" w16cid:durableId="1852447379">
    <w:abstractNumId w:val="19"/>
  </w:num>
  <w:num w:numId="22" w16cid:durableId="1139879619">
    <w:abstractNumId w:val="14"/>
  </w:num>
  <w:num w:numId="23" w16cid:durableId="574164035">
    <w:abstractNumId w:val="9"/>
  </w:num>
  <w:num w:numId="24" w16cid:durableId="1801920748">
    <w:abstractNumId w:val="10"/>
  </w:num>
  <w:num w:numId="25" w16cid:durableId="670528303">
    <w:abstractNumId w:val="15"/>
  </w:num>
  <w:num w:numId="26" w16cid:durableId="100490210">
    <w:abstractNumId w:val="12"/>
  </w:num>
  <w:num w:numId="27" w16cid:durableId="1061486648">
    <w:abstractNumId w:val="22"/>
  </w:num>
  <w:num w:numId="28" w16cid:durableId="1605073802">
    <w:abstractNumId w:val="17"/>
  </w:num>
  <w:num w:numId="29" w16cid:durableId="1415081218">
    <w:abstractNumId w:val="11"/>
  </w:num>
  <w:num w:numId="30" w16cid:durableId="1752384434">
    <w:abstractNumId w:val="28"/>
  </w:num>
  <w:num w:numId="31" w16cid:durableId="5436139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AF3"/>
    <w:rsid w:val="000933C5"/>
    <w:rsid w:val="001432FA"/>
    <w:rsid w:val="00144BEB"/>
    <w:rsid w:val="0042588F"/>
    <w:rsid w:val="005C0A49"/>
    <w:rsid w:val="006315B6"/>
    <w:rsid w:val="006555BE"/>
    <w:rsid w:val="006D7D5B"/>
    <w:rsid w:val="00745F8E"/>
    <w:rsid w:val="007D0B4C"/>
    <w:rsid w:val="0087081D"/>
    <w:rsid w:val="00941AF3"/>
    <w:rsid w:val="009C58EA"/>
    <w:rsid w:val="00AF4562"/>
    <w:rsid w:val="00DC7FB2"/>
    <w:rsid w:val="00DD08B2"/>
    <w:rsid w:val="00DD3C16"/>
    <w:rsid w:val="00E24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8D2DE"/>
  <w15:chartTrackingRefBased/>
  <w15:docId w15:val="{AA346A88-2268-0940-A143-F17261D85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1A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A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A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A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41A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A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A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A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A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A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A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A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A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A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A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AF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1A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941AF3"/>
    <w:rPr>
      <w:b/>
      <w:bCs/>
    </w:rPr>
  </w:style>
  <w:style w:type="character" w:customStyle="1" w:styleId="apple-converted-space">
    <w:name w:val="apple-converted-space"/>
    <w:basedOn w:val="DefaultParagraphFont"/>
    <w:rsid w:val="00941AF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1A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1AF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41A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1501</Words>
  <Characters>8557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Robert Noel</dc:creator>
  <cp:keywords/>
  <dc:description/>
  <cp:lastModifiedBy>Jack Robert Noel</cp:lastModifiedBy>
  <cp:revision>11</cp:revision>
  <dcterms:created xsi:type="dcterms:W3CDTF">2026-07-29T09:03:00Z</dcterms:created>
  <dcterms:modified xsi:type="dcterms:W3CDTF">2026-07-29T10:34:00Z</dcterms:modified>
</cp:coreProperties>
</file>