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01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134"/>
        <w:gridCol w:w="1418"/>
        <w:gridCol w:w="3260"/>
        <w:gridCol w:w="3686"/>
        <w:gridCol w:w="1842"/>
      </w:tblGrid>
      <w:tr w:rsidR="005D4418" w14:paraId="10647900" w14:textId="77777777" w:rsidTr="005D4418">
        <w:tc>
          <w:tcPr>
            <w:tcW w:w="3261" w:type="dxa"/>
            <w:tcBorders>
              <w:bottom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64E2" w14:textId="77777777" w:rsidR="002121B1" w:rsidRPr="008D305E" w:rsidRDefault="00AE5C04" w:rsidP="0042645C">
            <w:pPr>
              <w:pStyle w:val="normal0"/>
              <w:spacing w:line="240" w:lineRule="auto"/>
              <w:contextualSpacing w:val="0"/>
              <w:jc w:val="center"/>
              <w:rPr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Aspect of care</w:t>
            </w:r>
            <w:r w:rsidR="002121B1">
              <w:rPr>
                <w:b/>
                <w:color w:val="auto"/>
                <w:sz w:val="16"/>
                <w:szCs w:val="16"/>
              </w:rPr>
              <w:t xml:space="preserve"> to be addressed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B3B3B3"/>
          </w:tcPr>
          <w:p w14:paraId="3954263E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center"/>
              <w:rPr>
                <w:color w:val="auto"/>
                <w:sz w:val="16"/>
                <w:szCs w:val="16"/>
              </w:rPr>
            </w:pPr>
            <w:r w:rsidRPr="008D305E">
              <w:rPr>
                <w:b/>
                <w:color w:val="auto"/>
                <w:sz w:val="16"/>
                <w:szCs w:val="16"/>
              </w:rPr>
              <w:t>Intervention type</w:t>
            </w:r>
          </w:p>
        </w:tc>
        <w:tc>
          <w:tcPr>
            <w:tcW w:w="1418" w:type="dxa"/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E0D4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center"/>
              <w:rPr>
                <w:color w:val="auto"/>
                <w:sz w:val="16"/>
                <w:szCs w:val="16"/>
              </w:rPr>
            </w:pPr>
            <w:r w:rsidRPr="008D305E">
              <w:rPr>
                <w:b/>
                <w:color w:val="auto"/>
                <w:sz w:val="16"/>
                <w:szCs w:val="16"/>
              </w:rPr>
              <w:t>Intervention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09B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center"/>
              <w:rPr>
                <w:color w:val="auto"/>
                <w:sz w:val="16"/>
                <w:szCs w:val="16"/>
              </w:rPr>
            </w:pPr>
            <w:r w:rsidRPr="008D305E">
              <w:rPr>
                <w:b/>
                <w:color w:val="auto"/>
                <w:sz w:val="16"/>
                <w:szCs w:val="16"/>
              </w:rPr>
              <w:t>Maximum Impact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B67A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center"/>
              <w:rPr>
                <w:color w:val="auto"/>
                <w:sz w:val="16"/>
                <w:szCs w:val="16"/>
              </w:rPr>
            </w:pPr>
            <w:r w:rsidRPr="008D305E">
              <w:rPr>
                <w:b/>
                <w:color w:val="auto"/>
                <w:sz w:val="16"/>
                <w:szCs w:val="16"/>
              </w:rPr>
              <w:t>Realistic Impact</w:t>
            </w:r>
          </w:p>
        </w:tc>
        <w:tc>
          <w:tcPr>
            <w:tcW w:w="1842" w:type="dxa"/>
            <w:tcBorders>
              <w:bottom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4FF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center"/>
              <w:rPr>
                <w:color w:val="auto"/>
                <w:sz w:val="16"/>
                <w:szCs w:val="16"/>
              </w:rPr>
            </w:pPr>
            <w:r w:rsidRPr="008D305E">
              <w:rPr>
                <w:b/>
                <w:color w:val="auto"/>
                <w:sz w:val="16"/>
                <w:szCs w:val="16"/>
              </w:rPr>
              <w:t xml:space="preserve">Cost </w:t>
            </w:r>
          </w:p>
          <w:p w14:paraId="3BF3BB47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center"/>
              <w:rPr>
                <w:color w:val="auto"/>
                <w:sz w:val="16"/>
                <w:szCs w:val="16"/>
              </w:rPr>
            </w:pPr>
            <w:r w:rsidRPr="008D305E">
              <w:rPr>
                <w:b/>
                <w:color w:val="auto"/>
                <w:sz w:val="16"/>
                <w:szCs w:val="16"/>
              </w:rPr>
              <w:t>(2013 USD)</w:t>
            </w:r>
          </w:p>
        </w:tc>
      </w:tr>
      <w:tr w:rsidR="005D4418" w14:paraId="610F37BE" w14:textId="77777777" w:rsidTr="005D4418">
        <w:trPr>
          <w:trHeight w:val="600"/>
        </w:trPr>
        <w:tc>
          <w:tcPr>
            <w:tcW w:w="32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9F2E" w14:textId="13621319" w:rsidR="002121B1" w:rsidRPr="008D305E" w:rsidRDefault="002121B1" w:rsidP="00C51C3F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Individuals are unaware of their HIV status</w:t>
            </w:r>
            <w:r w:rsidR="00C51C3F">
              <w:rPr>
                <w:sz w:val="16"/>
                <w:szCs w:val="16"/>
              </w:rPr>
              <w:t>. At baseline, the mean time for an individual to test through VCT is 7.2 years. Additionally individuals may test through PICT,</w:t>
            </w:r>
            <w:r w:rsidR="005D4418">
              <w:rPr>
                <w:sz w:val="16"/>
                <w:szCs w:val="16"/>
              </w:rPr>
              <w:t xml:space="preserve"> but</w:t>
            </w:r>
            <w:r w:rsidR="00C51C3F">
              <w:rPr>
                <w:sz w:val="16"/>
                <w:szCs w:val="16"/>
              </w:rPr>
              <w:t xml:space="preserve"> the time to test varies depending on health care experience and symptoms. Asymptomatic and no previous care experience = 15.6 years. Asymptomatic and diagnosed = 11 years. Asymptomatic and aware of CD4 count = 5 years. Symptomatic = 1.5 years.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321B20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i/>
                <w:sz w:val="16"/>
                <w:szCs w:val="16"/>
              </w:rPr>
              <w:t>Testing</w:t>
            </w:r>
          </w:p>
        </w:tc>
        <w:tc>
          <w:tcPr>
            <w:tcW w:w="1418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9C5E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HBCT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BC95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Every four years, 90% coverage of population. 100% linked to care.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7253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 xml:space="preserve">Every four years, 90% coverage. 5.4% linked if </w:t>
            </w:r>
            <w:r>
              <w:rPr>
                <w:sz w:val="16"/>
                <w:szCs w:val="16"/>
              </w:rPr>
              <w:t xml:space="preserve">had not previously been </w:t>
            </w:r>
            <w:r w:rsidRPr="008D305E">
              <w:rPr>
                <w:sz w:val="16"/>
                <w:szCs w:val="16"/>
              </w:rPr>
              <w:t>diagnosed, else 25%.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BDF5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$18 per HBCT person tested.</w:t>
            </w:r>
          </w:p>
        </w:tc>
      </w:tr>
      <w:tr w:rsidR="005D4418" w14:paraId="5152AA47" w14:textId="77777777" w:rsidTr="005D4418">
        <w:tc>
          <w:tcPr>
            <w:tcW w:w="32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68C4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8F1DA8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725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Enhanced VCT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E1B6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The rate of HIV testing is twice that of baseline.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D09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The rate of HIV testing is 125% that of baseline.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2A04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$50 per person tested.</w:t>
            </w:r>
          </w:p>
        </w:tc>
      </w:tr>
      <w:tr w:rsidR="005D4418" w14:paraId="276C949A" w14:textId="77777777" w:rsidTr="005D4418">
        <w:tc>
          <w:tcPr>
            <w:tcW w:w="32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42ED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72375D6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Testing &amp; Linkage</w:t>
            </w:r>
          </w:p>
        </w:tc>
        <w:tc>
          <w:tcPr>
            <w:tcW w:w="1418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5069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HBCT (with POC)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926D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Ever four years, 90% coverage of population. POC CD4 reduces risk of not linked to 0%.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47F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Every four years, 90% coverage of population. POC CD4 reduces risk of not linked by 50%.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F646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$60 per HBCT person tested.</w:t>
            </w:r>
          </w:p>
        </w:tc>
      </w:tr>
      <w:tr w:rsidR="005D4418" w14:paraId="7A98D497" w14:textId="77777777" w:rsidTr="005D4418">
        <w:tc>
          <w:tcPr>
            <w:tcW w:w="32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A221" w14:textId="0EFCEA0E" w:rsidR="002121B1" w:rsidRPr="008D305E" w:rsidRDefault="002121B1" w:rsidP="001F73A0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Individuals are not connecting to care in timely manner</w:t>
            </w:r>
            <w:r w:rsidR="001F73A0">
              <w:rPr>
                <w:sz w:val="16"/>
                <w:szCs w:val="16"/>
              </w:rPr>
              <w:t>. At baseline, 60% of patients tested through VCT or PICT successfully link to care.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39178B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i/>
                <w:sz w:val="16"/>
                <w:szCs w:val="16"/>
              </w:rPr>
              <w:t>Linkage</w:t>
            </w:r>
          </w:p>
        </w:tc>
        <w:tc>
          <w:tcPr>
            <w:tcW w:w="1418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158C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Facilitated Linkage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4227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The risk of failure-to-link is reduced to 0%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7EAE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The risk of failure-to-link is reduced by 50%.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88A4" w14:textId="77777777" w:rsidR="002121B1" w:rsidRPr="008D305E" w:rsidRDefault="002121B1" w:rsidP="0042645C">
            <w:pPr>
              <w:jc w:val="left"/>
              <w:rPr>
                <w:sz w:val="16"/>
                <w:szCs w:val="16"/>
              </w:rPr>
            </w:pPr>
            <w:commentRangeStart w:id="0"/>
            <w:r w:rsidRPr="008D305E">
              <w:rPr>
                <w:sz w:val="16"/>
                <w:szCs w:val="16"/>
              </w:rPr>
              <w:t>No additional costs applied.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E3250" w14:paraId="36ECDDAA" w14:textId="77777777" w:rsidTr="005D4418">
        <w:tc>
          <w:tcPr>
            <w:tcW w:w="32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9CF7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232902B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C54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VCT POC</w:t>
            </w:r>
          </w:p>
        </w:tc>
        <w:tc>
          <w:tcPr>
            <w:tcW w:w="6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C0E3" w14:textId="77777777" w:rsidR="002121B1" w:rsidRPr="008D305E" w:rsidRDefault="002121B1" w:rsidP="0042645C">
            <w:pPr>
              <w:rPr>
                <w:sz w:val="16"/>
                <w:szCs w:val="16"/>
              </w:rPr>
            </w:pPr>
            <w:commentRangeStart w:id="1"/>
            <w:r w:rsidRPr="008D305E">
              <w:rPr>
                <w:sz w:val="16"/>
                <w:szCs w:val="16"/>
              </w:rPr>
              <w:t>At VCT testing, a POC CD4 test is given to patients reducing the risk of not linking to 0%.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A44C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$80 per POC CD4 test.</w:t>
            </w:r>
          </w:p>
        </w:tc>
      </w:tr>
      <w:tr w:rsidR="005D4418" w14:paraId="5F7AF34E" w14:textId="77777777" w:rsidTr="005D4418">
        <w:tc>
          <w:tcPr>
            <w:tcW w:w="32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855F" w14:textId="0A96139B" w:rsidR="002121B1" w:rsidRPr="008D305E" w:rsidRDefault="002121B1" w:rsidP="00716A8E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Individuals engage with care but are subsequently lost prior to starting treatment</w:t>
            </w:r>
            <w:r w:rsidR="006923A7">
              <w:rPr>
                <w:sz w:val="16"/>
                <w:szCs w:val="16"/>
              </w:rPr>
              <w:t>.</w:t>
            </w:r>
            <w:r w:rsidR="00716A8E">
              <w:rPr>
                <w:sz w:val="16"/>
                <w:szCs w:val="16"/>
              </w:rPr>
              <w:t xml:space="preserve"> On average at baseline, for every CD4 test 56% of patients are lost from care before receiving their results. On the day of a CD4 test result appointment, 20% of patients fail to attend and are also lost from care. After receiving the results of a CD4 test, on average 35% of patients fail to return for a subsequent CD4 test in a years time.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7095359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i/>
                <w:sz w:val="16"/>
                <w:szCs w:val="16"/>
              </w:rPr>
              <w:t>Pre-ART Retention</w:t>
            </w:r>
          </w:p>
        </w:tc>
        <w:tc>
          <w:tcPr>
            <w:tcW w:w="1418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3BE7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Pre-ART Outreach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B3BC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In the middle of each year, 100% of tested individuals lost from care are returned.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EA38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In the middle of each year, 20% of tested individuals lost from care are returned.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45A7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$19.55 per patient sought.</w:t>
            </w:r>
          </w:p>
        </w:tc>
      </w:tr>
      <w:tr w:rsidR="005D4418" w14:paraId="3C05514D" w14:textId="77777777" w:rsidTr="005D4418">
        <w:tc>
          <w:tcPr>
            <w:tcW w:w="32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D6CC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2411352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0802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Improved Care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F8B0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The risk of a patient missing an appointment is reduced to 0%.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481B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The risk of a patient missing an appointment is reduced by 50%.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41A5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No additional costs applied.</w:t>
            </w:r>
          </w:p>
        </w:tc>
      </w:tr>
      <w:tr w:rsidR="005E3250" w14:paraId="697351B7" w14:textId="77777777" w:rsidTr="005D4418">
        <w:tc>
          <w:tcPr>
            <w:tcW w:w="32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C247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B85E654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D166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POC</w:t>
            </w:r>
          </w:p>
        </w:tc>
        <w:tc>
          <w:tcPr>
            <w:tcW w:w="6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854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A POC CD4 test reduces loss from care between CD4 test and result by 100%, as result</w:t>
            </w:r>
            <w:r>
              <w:rPr>
                <w:sz w:val="16"/>
                <w:szCs w:val="16"/>
              </w:rPr>
              <w:t>s</w:t>
            </w:r>
            <w:r w:rsidRPr="008D30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are available </w:t>
            </w:r>
            <w:r w:rsidRPr="008D305E">
              <w:rPr>
                <w:sz w:val="16"/>
                <w:szCs w:val="16"/>
              </w:rPr>
              <w:t>instantaneous</w:t>
            </w:r>
            <w:r>
              <w:rPr>
                <w:sz w:val="16"/>
                <w:szCs w:val="16"/>
              </w:rPr>
              <w:t>ly</w:t>
            </w:r>
            <w:r w:rsidRPr="008D305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(The risk of loss to follow-up between appointments is unchanged).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42EC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$70 per POC CD4 test.</w:t>
            </w:r>
          </w:p>
        </w:tc>
      </w:tr>
      <w:tr w:rsidR="005E3250" w14:paraId="2A77436C" w14:textId="77777777" w:rsidTr="005D4418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CE99" w14:textId="4B7123AE" w:rsidR="002121B1" w:rsidRPr="008D305E" w:rsidRDefault="00AE5C04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Individuals initiate ART but subsequently drop out of care</w:t>
            </w:r>
            <w:r w:rsidR="009010C3">
              <w:rPr>
                <w:sz w:val="16"/>
                <w:szCs w:val="16"/>
              </w:rPr>
              <w:t>. At baseline, 8% dropout in the first year of ART and 5% thereafter.</w:t>
            </w:r>
            <w:bookmarkStart w:id="2" w:name="_GoBack"/>
            <w:bookmarkEnd w:id="2"/>
          </w:p>
        </w:tc>
        <w:tc>
          <w:tcPr>
            <w:tcW w:w="1134" w:type="dxa"/>
            <w:vMerge w:val="restart"/>
            <w:shd w:val="clear" w:color="auto" w:fill="auto"/>
          </w:tcPr>
          <w:p w14:paraId="548C7363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i/>
                <w:sz w:val="16"/>
                <w:szCs w:val="16"/>
              </w:rPr>
              <w:t>On-ART Retention</w:t>
            </w:r>
          </w:p>
        </w:tc>
        <w:tc>
          <w:tcPr>
            <w:tcW w:w="1418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7276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On-ART Outreach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D602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In the middle of each year, 100% of patients who have initiated ART and been lost from care are returned.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ECF5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In the middle of each year, 40% of patients who have initiated ART and been lost from care are returned.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51F0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$19.55 per patient sought.</w:t>
            </w:r>
          </w:p>
        </w:tc>
      </w:tr>
      <w:tr w:rsidR="005E3250" w14:paraId="60C50F71" w14:textId="77777777" w:rsidTr="005D4418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5AE7" w14:textId="565C249E" w:rsidR="002121B1" w:rsidRPr="008D305E" w:rsidRDefault="00AE5C04" w:rsidP="00AE5C04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Individuals initiate ART but only 75% adhere to treatment</w:t>
            </w:r>
            <w:r w:rsidR="00EF2C90"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vMerge/>
            <w:shd w:val="clear" w:color="auto" w:fill="auto"/>
          </w:tcPr>
          <w:p w14:paraId="24463380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7856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Adherence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55FC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At ART initiation, all individuals adhere to ART and become virally suppressed.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56C1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At ART initiation, 87.5% of individuals adhere to ART and become virally suppressed.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20D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$33.54 per person per year.</w:t>
            </w:r>
          </w:p>
        </w:tc>
      </w:tr>
      <w:tr w:rsidR="005E3250" w14:paraId="3E2B08E1" w14:textId="77777777" w:rsidTr="005D4418">
        <w:tc>
          <w:tcPr>
            <w:tcW w:w="32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046" w14:textId="78D1DB5F" w:rsidR="002121B1" w:rsidRPr="008D305E" w:rsidRDefault="00A3377F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Pre-ART care as a whole</w:t>
            </w:r>
            <w:r w:rsidR="0042645C"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B8A4854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i/>
                <w:sz w:val="16"/>
                <w:szCs w:val="16"/>
              </w:rPr>
              <w:t>Sweeping Changes</w:t>
            </w:r>
          </w:p>
        </w:tc>
        <w:tc>
          <w:tcPr>
            <w:tcW w:w="1418" w:type="dxa"/>
            <w:shd w:val="clear" w:color="auto" w:fill="674EA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6927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Immediate ART</w:t>
            </w:r>
          </w:p>
        </w:tc>
        <w:tc>
          <w:tcPr>
            <w:tcW w:w="6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D534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No pre-ART care, all individuals who enter care are treated immediately.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07E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E500EA">
              <w:rPr>
                <w:sz w:val="16"/>
                <w:szCs w:val="16"/>
              </w:rPr>
              <w:t>Only additional costs due to increased usage of ART.</w:t>
            </w:r>
          </w:p>
        </w:tc>
      </w:tr>
      <w:tr w:rsidR="005E3250" w14:paraId="6DC8A5EA" w14:textId="77777777" w:rsidTr="005D4418">
        <w:tc>
          <w:tcPr>
            <w:tcW w:w="32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880B" w14:textId="77777777" w:rsidR="002121B1" w:rsidRDefault="002121B1" w:rsidP="0042645C">
            <w:pPr>
              <w:pStyle w:val="normal0"/>
              <w:spacing w:line="240" w:lineRule="auto"/>
              <w:contextualSpacing w:val="0"/>
              <w:jc w:val="left"/>
            </w:pPr>
          </w:p>
        </w:tc>
        <w:tc>
          <w:tcPr>
            <w:tcW w:w="1134" w:type="dxa"/>
            <w:vMerge/>
            <w:shd w:val="clear" w:color="auto" w:fill="auto"/>
          </w:tcPr>
          <w:p w14:paraId="736FBB7A" w14:textId="77777777" w:rsidR="002121B1" w:rsidRDefault="002121B1" w:rsidP="0042645C">
            <w:pPr>
              <w:pStyle w:val="normal0"/>
              <w:spacing w:line="240" w:lineRule="auto"/>
              <w:contextualSpacing w:val="0"/>
              <w:jc w:val="left"/>
            </w:pPr>
          </w:p>
        </w:tc>
        <w:tc>
          <w:tcPr>
            <w:tcW w:w="1418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1AFA" w14:textId="77777777" w:rsidR="002121B1" w:rsidRPr="009C6BD8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9C6BD8">
              <w:rPr>
                <w:b/>
                <w:i/>
                <w:sz w:val="16"/>
                <w:szCs w:val="16"/>
              </w:rPr>
              <w:t>Universal Test &amp; Treat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B2C6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commentRangeStart w:id="3"/>
            <w:r w:rsidRPr="008D305E">
              <w:rPr>
                <w:sz w:val="16"/>
                <w:szCs w:val="16"/>
              </w:rPr>
              <w:t>Immediate ART &amp; HBCT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3A7D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 xml:space="preserve">Immediate ART &amp; HBCT, </w:t>
            </w:r>
            <w:commentRangeStart w:id="4"/>
            <w:r w:rsidRPr="008D305E">
              <w:rPr>
                <w:sz w:val="16"/>
                <w:szCs w:val="16"/>
              </w:rPr>
              <w:t>but 20% fail to start ART and 20% fail to link to ART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77BE" w14:textId="77777777" w:rsidR="002121B1" w:rsidRPr="008D305E" w:rsidRDefault="002121B1" w:rsidP="0042645C">
            <w:pPr>
              <w:pStyle w:val="normal0"/>
              <w:spacing w:line="240" w:lineRule="auto"/>
              <w:contextualSpacing w:val="0"/>
              <w:jc w:val="left"/>
              <w:rPr>
                <w:sz w:val="16"/>
                <w:szCs w:val="16"/>
              </w:rPr>
            </w:pPr>
            <w:r w:rsidRPr="008D305E">
              <w:rPr>
                <w:sz w:val="16"/>
                <w:szCs w:val="16"/>
              </w:rPr>
              <w:t>$18 per HBCT person tested.</w:t>
            </w:r>
          </w:p>
        </w:tc>
      </w:tr>
    </w:tbl>
    <w:p w14:paraId="4591EAE8" w14:textId="77777777" w:rsidR="008A7D57" w:rsidRDefault="008A7D57"/>
    <w:sectPr w:rsidR="008A7D57" w:rsidSect="00FF70EA">
      <w:pgSz w:w="16840" w:h="11900" w:orient="landscape"/>
      <w:pgMar w:top="567" w:right="1440" w:bottom="567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im Hallett" w:date="2015-01-08T10:35:00Z" w:initials="TH">
    <w:p w14:paraId="09EDAB83" w14:textId="77777777" w:rsidR="0042645C" w:rsidRDefault="0042645C" w:rsidP="002121B1">
      <w:pPr>
        <w:pStyle w:val="CommentText"/>
      </w:pPr>
      <w:r>
        <w:rPr>
          <w:rStyle w:val="CommentReference"/>
        </w:rPr>
        <w:annotationRef/>
      </w:r>
      <w:r>
        <w:t>How can we justify this? The work of Jenny and Ruanne suggest some cost here, doesn’t it?</w:t>
      </w:r>
    </w:p>
  </w:comment>
  <w:comment w:id="1" w:author="Tim Hallett" w:date="2015-01-08T10:35:00Z" w:initials="TH">
    <w:p w14:paraId="7DD98346" w14:textId="77777777" w:rsidR="0042645C" w:rsidRDefault="0042645C" w:rsidP="002121B1">
      <w:pPr>
        <w:pStyle w:val="CommentText"/>
      </w:pPr>
      <w:r>
        <w:rPr>
          <w:rStyle w:val="CommentReference"/>
        </w:rPr>
        <w:annotationRef/>
      </w:r>
      <w:r>
        <w:t>Seem to me like we need two scenarios in this one now. 0% would be best. What can say about what is realistic?</w:t>
      </w:r>
    </w:p>
  </w:comment>
  <w:comment w:id="3" w:author="Tim Hallett" w:date="2015-01-08T10:35:00Z" w:initials="TH">
    <w:p w14:paraId="1C8E0799" w14:textId="77777777" w:rsidR="0042645C" w:rsidRDefault="0042645C" w:rsidP="002121B1">
      <w:pPr>
        <w:pStyle w:val="CommentText"/>
      </w:pPr>
      <w:r>
        <w:rPr>
          <w:rStyle w:val="CommentReference"/>
        </w:rPr>
        <w:annotationRef/>
      </w:r>
      <w:r>
        <w:t>Shouldn’t this have the same assumption as “maximum HBCT” for comparison.</w:t>
      </w:r>
    </w:p>
  </w:comment>
  <w:comment w:id="4" w:author="Tim Hallett" w:date="2015-01-08T10:35:00Z" w:initials="TH">
    <w:p w14:paraId="0FC6331B" w14:textId="77777777" w:rsidR="0042645C" w:rsidRDefault="0042645C" w:rsidP="002121B1">
      <w:pPr>
        <w:pStyle w:val="CommentText"/>
      </w:pPr>
      <w:r>
        <w:rPr>
          <w:rStyle w:val="CommentReference"/>
        </w:rPr>
        <w:annotationRef/>
      </w:r>
      <w:r>
        <w:t>Don’t understand these two separate processes. Is the 20% failure to start Art that they decline to start ART.</w:t>
      </w:r>
    </w:p>
    <w:p w14:paraId="41A340F7" w14:textId="77777777" w:rsidR="0042645C" w:rsidRDefault="0042645C" w:rsidP="002121B1">
      <w:pPr>
        <w:pStyle w:val="CommentText"/>
      </w:pPr>
      <w:r>
        <w:t>Shouldn’t the ‘realistic impact’ here have the same assumptions as the “realistic impact” HBCT about those components?</w:t>
      </w:r>
    </w:p>
    <w:p w14:paraId="2F001960" w14:textId="77777777" w:rsidR="0042645C" w:rsidRDefault="0042645C" w:rsidP="002121B1">
      <w:pPr>
        <w:pStyle w:val="CommentText"/>
      </w:pPr>
    </w:p>
    <w:p w14:paraId="31DA42F4" w14:textId="77777777" w:rsidR="0042645C" w:rsidRDefault="0042645C" w:rsidP="002121B1">
      <w:pPr>
        <w:pStyle w:val="CommentText"/>
      </w:pPr>
      <w:r>
        <w:t xml:space="preserve">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A204B" w14:textId="77777777" w:rsidR="0042645C" w:rsidRDefault="0042645C" w:rsidP="00FF70EA">
      <w:pPr>
        <w:spacing w:line="240" w:lineRule="auto"/>
      </w:pPr>
      <w:r>
        <w:separator/>
      </w:r>
    </w:p>
  </w:endnote>
  <w:endnote w:type="continuationSeparator" w:id="0">
    <w:p w14:paraId="2781F6F5" w14:textId="77777777" w:rsidR="0042645C" w:rsidRDefault="0042645C" w:rsidP="00FF7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0E11E" w14:textId="77777777" w:rsidR="0042645C" w:rsidRDefault="0042645C" w:rsidP="00FF70EA">
      <w:pPr>
        <w:spacing w:line="240" w:lineRule="auto"/>
      </w:pPr>
      <w:r>
        <w:separator/>
      </w:r>
    </w:p>
  </w:footnote>
  <w:footnote w:type="continuationSeparator" w:id="0">
    <w:p w14:paraId="5E5FACA4" w14:textId="77777777" w:rsidR="0042645C" w:rsidRDefault="0042645C" w:rsidP="00FF70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B1"/>
    <w:rsid w:val="001F73A0"/>
    <w:rsid w:val="002121B1"/>
    <w:rsid w:val="0042645C"/>
    <w:rsid w:val="005D4418"/>
    <w:rsid w:val="005E3250"/>
    <w:rsid w:val="006923A7"/>
    <w:rsid w:val="00716A8E"/>
    <w:rsid w:val="008A7D57"/>
    <w:rsid w:val="009010C3"/>
    <w:rsid w:val="00A3377F"/>
    <w:rsid w:val="00AE5C04"/>
    <w:rsid w:val="00C51C3F"/>
    <w:rsid w:val="00EA0A58"/>
    <w:rsid w:val="00EF2C90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31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B1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21B1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121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1B1"/>
    <w:rPr>
      <w:rFonts w:ascii="Helvetica Neue" w:eastAsia="Helvetica Neue" w:hAnsi="Helvetica Neue" w:cs="Helvetica Neue"/>
      <w:color w:val="00000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121B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B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B1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F70E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EA"/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70E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EA"/>
    <w:rPr>
      <w:rFonts w:ascii="Helvetica Neue" w:eastAsia="Helvetica Neue" w:hAnsi="Helvetica Neue" w:cs="Helvetica Neue"/>
      <w:color w:val="00000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B1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21B1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121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1B1"/>
    <w:rPr>
      <w:rFonts w:ascii="Helvetica Neue" w:eastAsia="Helvetica Neue" w:hAnsi="Helvetica Neue" w:cs="Helvetica Neue"/>
      <w:color w:val="00000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121B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B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B1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F70E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EA"/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70E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EA"/>
    <w:rPr>
      <w:rFonts w:ascii="Helvetica Neue" w:eastAsia="Helvetica Neue" w:hAnsi="Helvetica Neue" w:cs="Helvetica Neue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533</Words>
  <Characters>3041</Characters>
  <Application>Microsoft Macintosh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13</cp:revision>
  <dcterms:created xsi:type="dcterms:W3CDTF">2015-01-08T10:28:00Z</dcterms:created>
  <dcterms:modified xsi:type="dcterms:W3CDTF">2015-01-08T11:36:00Z</dcterms:modified>
</cp:coreProperties>
</file>