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中國保險業資本、投資、監管與長期風險 —— 延伸調查彙整報告</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項目</w:t>
            </w:r>
          </w:p>
        </w:tc>
        <w:tc>
          <w:tcPr>
            <w:tcW w:type="dxa" w:w="4986"/>
          </w:tcPr>
          <w:p>
            <w:r>
              <w:rPr>
                <w:b/>
                <w:sz w:val="18"/>
              </w:rPr>
            </w:r>
            <w:r>
              <w:rPr>
                <w:b/>
                <w:sz w:val="18"/>
              </w:rPr>
              <w:t>內容</w:t>
            </w:r>
          </w:p>
        </w:tc>
      </w:tr>
      <w:tr>
        <w:tc>
          <w:tcPr>
            <w:tcW w:type="dxa" w:w="4986"/>
          </w:tcPr>
          <w:p>
            <w:r>
              <w:rPr>
                <w:sz w:val="18"/>
              </w:rPr>
            </w:r>
            <w:r>
              <w:rPr>
                <w:sz w:val="18"/>
              </w:rPr>
              <w:t>報告日期</w:t>
            </w:r>
          </w:p>
        </w:tc>
        <w:tc>
          <w:tcPr>
            <w:tcW w:type="dxa" w:w="4986"/>
          </w:tcPr>
          <w:p>
            <w:r>
              <w:rPr>
                <w:sz w:val="18"/>
              </w:rPr>
            </w:r>
            <w:r>
              <w:rPr>
                <w:sz w:val="18"/>
              </w:rPr>
              <w:t>2026 年 9 月 8 日</w:t>
            </w:r>
          </w:p>
        </w:tc>
      </w:tr>
      <w:tr>
        <w:tc>
          <w:tcPr>
            <w:tcW w:type="dxa" w:w="4986"/>
          </w:tcPr>
          <w:p>
            <w:r>
              <w:rPr>
                <w:sz w:val="18"/>
              </w:rPr>
            </w:r>
            <w:r>
              <w:rPr>
                <w:sz w:val="18"/>
              </w:rPr>
              <w:t>前置研究</w:t>
            </w:r>
          </w:p>
        </w:tc>
        <w:tc>
          <w:tcPr>
            <w:tcW w:type="dxa" w:w="4986"/>
          </w:tcPr>
          <w:p>
            <w:r>
              <w:rPr>
                <w:sz w:val="18"/>
              </w:rPr>
            </w:r>
            <w:r>
              <w:rPr>
                <w:sz w:val="18"/>
              </w:rPr>
              <w:t>《財政部首次注資險企、4 家獲 670 億元》事件彙整（</w:t>
            </w:r>
            <w:r>
              <w:rPr>
                <w:rFonts w:ascii="Consolas" w:hAnsi="Consolas"/>
                <w:sz w:val="18"/>
              </w:rPr>
              <w:t>../report.md</w:t>
            </w:r>
            <w:r>
              <w:rPr>
                <w:sz w:val="18"/>
              </w:rPr>
              <w:t>）</w:t>
            </w:r>
          </w:p>
        </w:tc>
      </w:tr>
      <w:tr>
        <w:tc>
          <w:tcPr>
            <w:tcW w:type="dxa" w:w="4986"/>
          </w:tcPr>
          <w:p>
            <w:r>
              <w:rPr>
                <w:sz w:val="18"/>
              </w:rPr>
            </w:r>
            <w:r>
              <w:rPr>
                <w:sz w:val="18"/>
              </w:rPr>
              <w:t>研究計畫</w:t>
            </w:r>
          </w:p>
        </w:tc>
        <w:tc>
          <w:tcPr>
            <w:tcW w:type="dxa" w:w="4986"/>
          </w:tcPr>
          <w:p>
            <w:r>
              <w:rPr>
                <w:sz w:val="18"/>
              </w:rPr>
            </w:r>
            <w:r>
              <w:rPr>
                <w:rFonts w:ascii="Consolas" w:hAnsi="Consolas"/>
                <w:sz w:val="18"/>
              </w:rPr>
              <w:t>research_plan_extended.md</w:t>
            </w:r>
            <w:r>
              <w:rPr>
                <w:sz w:val="18"/>
              </w:rPr>
              <w:t>（2026-09-08 經使用者核准，含三項修改）</w:t>
            </w:r>
          </w:p>
        </w:tc>
      </w:tr>
      <w:tr>
        <w:tc>
          <w:tcPr>
            <w:tcW w:type="dxa" w:w="4986"/>
          </w:tcPr>
          <w:p>
            <w:r>
              <w:rPr>
                <w:sz w:val="18"/>
              </w:rPr>
            </w:r>
            <w:r>
              <w:rPr>
                <w:sz w:val="18"/>
              </w:rPr>
              <w:t>工作方式</w:t>
            </w:r>
          </w:p>
        </w:tc>
        <w:tc>
          <w:tcPr>
            <w:tcW w:type="dxa" w:w="4986"/>
          </w:tcPr>
          <w:p>
            <w:r>
              <w:rPr>
                <w:sz w:val="18"/>
              </w:rPr>
            </w:r>
            <w:r>
              <w:rPr>
                <w:sz w:val="18"/>
              </w:rPr>
              <w:t>六個 Sonnet 子代理平行蒐集（EXT-1 資本需求、EXT-2 償付能力全景、EXT-3 投資與資產、EXT-4 償付能力規則、EXT-5 養老社區、EXT-6 長期風險），兩個補缺代理（GAP-1、GAP-2）；主代理（Fable 5.1）親自補查海外投資一節、演算補充力道、交叉審核與撰寫</w:t>
            </w:r>
          </w:p>
        </w:tc>
      </w:tr>
      <w:tr>
        <w:tc>
          <w:tcPr>
            <w:tcW w:type="dxa" w:w="4986"/>
          </w:tcPr>
          <w:p>
            <w:r>
              <w:rPr>
                <w:sz w:val="18"/>
              </w:rPr>
            </w:r>
            <w:r>
              <w:rPr>
                <w:sz w:val="18"/>
              </w:rPr>
              <w:t>附件</w:t>
            </w:r>
          </w:p>
        </w:tc>
        <w:tc>
          <w:tcPr>
            <w:tcW w:type="dxa" w:w="4986"/>
          </w:tcPr>
          <w:p>
            <w:r>
              <w:rPr>
                <w:sz w:val="18"/>
              </w:rPr>
            </w:r>
            <w:r>
              <w:rPr>
                <w:rFonts w:ascii="Consolas" w:hAnsi="Consolas"/>
                <w:sz w:val="18"/>
              </w:rPr>
              <w:t>solvency_table.xlsx</w:t>
            </w:r>
            <w:r>
              <w:rPr>
                <w:sz w:val="18"/>
              </w:rPr>
              <w:t>（償付能力資料表、不達標追蹤、補充力道量表）、</w:t>
            </w:r>
            <w:r>
              <w:rPr>
                <w:rFonts w:ascii="Consolas" w:hAnsi="Consolas"/>
                <w:sz w:val="18"/>
              </w:rPr>
              <w:t>brief_extended.md</w:t>
            </w:r>
            <w:r>
              <w:rPr>
                <w:sz w:val="18"/>
              </w:rPr>
              <w:t>（5～6 頁精簡版）、</w:t>
            </w:r>
            <w:r>
              <w:rPr>
                <w:rFonts w:ascii="Consolas" w:hAnsi="Consolas"/>
                <w:sz w:val="18"/>
              </w:rPr>
              <w:t>findings/</w:t>
            </w:r>
            <w:r>
              <w:rPr>
                <w:sz w:val="18"/>
              </w:rPr>
              <w:t>（原始蒐集資料）</w:t>
            </w:r>
          </w:p>
        </w:tc>
      </w:tr>
      <w:tr>
        <w:tc>
          <w:tcPr>
            <w:tcW w:type="dxa" w:w="4986"/>
          </w:tcPr>
          <w:p>
            <w:r>
              <w:rPr>
                <w:sz w:val="18"/>
              </w:rPr>
            </w:r>
            <w:r>
              <w:rPr>
                <w:sz w:val="18"/>
              </w:rPr>
              <w:t>重大限制</w:t>
            </w:r>
          </w:p>
        </w:tc>
        <w:tc>
          <w:tcPr>
            <w:tcW w:type="dxa" w:w="4986"/>
          </w:tcPr>
          <w:p>
            <w:r>
              <w:rPr>
                <w:sz w:val="18"/>
              </w:rPr>
            </w:r>
            <w:r>
              <w:rPr>
                <w:sz w:val="18"/>
              </w:rPr>
              <w:t>本環境無法讀取任何中國官方或公司網頁原文，所有數字來自搜尋摘要多來源交叉比對；六個子代理曾因共用搜尋額度耗盡而提前中止，缺口已由主代理與補缺代理補上大部分，仍未補齊者逐項標註「未找到」。正式對外引用前，請以金融監管總局與各公司公告原文校對。</w:t>
            </w:r>
          </w:p>
        </w:tc>
      </w:tr>
    </w:tbl>
    <w:p/>
    <w:p>
      <w:pPr>
        <w:pStyle w:val="Heading2"/>
      </w:pPr>
      <w:r>
        <w:t>總覽：六個問題的一句話答案</w:t>
      </w:r>
    </w:p>
    <w:p>
      <w:pPr>
        <w:pStyle w:val="ListNumber"/>
      </w:pPr>
      <w:r>
        <w:rPr>
          <w:b/>
        </w:rPr>
        <w:t>真需求還是政策注資？</w:t>
      </w:r>
      <w:r>
        <w:t xml:space="preserve"> 五家各不相同。中再與太平最接近「真需要」，國壽與人保是「未雨綢繆加政策任務」，信保是「政策任務」。但選誰注資的決定因素是股權（財政部直接控股），不是誰最缺資本；新華、中郵人壽等資本更緊的公司因股權關係沒有份。</w:t>
      </w:r>
    </w:p>
    <w:p>
      <w:pPr>
        <w:pStyle w:val="ListNumber"/>
      </w:pPr>
      <w:r>
        <w:rPr>
          <w:b/>
        </w:rPr>
        <w:t>700 億夠不夠？</w:t>
      </w:r>
      <w:r>
        <w:t xml:space="preserve"> 不夠「補到位」，只夠「補一口氣」。對國壽、人保、太平人壽而言，充足率大約各拉高 5 到 7 個百分點，相當於行業平均一年左右的自然消耗，也只相當於五家 A 股上市險企 2025 年一年分紅（1,024 億）的七成。</w:t>
      </w:r>
    </w:p>
    <w:p>
      <w:pPr>
        <w:pStyle w:val="ListNumber"/>
      </w:pPr>
      <w:r>
        <w:rPr>
          <w:b/>
        </w:rPr>
        <w:t>償付能力這幾年怎麼變？</w:t>
      </w:r>
      <w:r>
        <w:t xml:space="preserve"> 行業綜合充足率從 2020 年末 246% 一路掉到 2026 年二季度 181%，核心從 234% 掉到 134%。最大一跌在 2022 年一季度償二代二期上路（核心單季少 70 個百分點）。不達標公司從 2022～2024 年的 12～16 家收斂到 2025～2026 年的 5 家，但另有一批「長期不披露」的公司躲在統計外。</w:t>
      </w:r>
    </w:p>
    <w:p>
      <w:pPr>
        <w:pStyle w:val="ListNumber"/>
      </w:pPr>
      <w:r>
        <w:rPr>
          <w:b/>
        </w:rPr>
        <w:t>錢放在哪裡？</w:t>
      </w:r>
      <w:r>
        <w:t xml:space="preserve"> 38.5 萬億保險資金，債券過半（人身險 51%），股票加基金 5.7 萬億（約 15%），境外只有 1.6%。負債久期 12～13 年、資產久期約 6 年，缺口 6～7 年，是全世界最大的錯配之一。</w:t>
      </w:r>
    </w:p>
    <w:p>
      <w:pPr>
        <w:pStyle w:val="ListNumber"/>
      </w:pPr>
      <w:r>
        <w:rPr>
          <w:b/>
        </w:rPr>
        <w:t>中國版 RBC 怎麼算？</w:t>
      </w:r>
      <w:r>
        <w:t xml:space="preserve"> 核心資本除以最低資本、實際資本除以最低資本，三條線（50%、100%、評級 B）同時達標。最低資本按資產的風險因子加總，滬深 300 股票因子 0.30、未上市股權 0.41、非保險子公司 1.0，這就是「權益投資吃資本」的原因。從 2008 年償一代到 2022 年償二代二期，每一次改版都往「更嚴、更穿透」走，2023 與 2025 年則對股票因子定向放鬆。</w:t>
      </w:r>
    </w:p>
    <w:p>
      <w:pPr>
        <w:pStyle w:val="ListNumber"/>
      </w:pPr>
      <w:r>
        <w:rPr>
          <w:b/>
        </w:rPr>
        <w:t>養老園區是好棋嗎？</w:t>
      </w:r>
      <w:r>
        <w:t xml:space="preserve"> 對賣保單是好棋（泰康靠社區帶動 23 萬客戶、預計 4,600 億保費），對資產負債表是重擔（回本 10～30 年、基礎回報 3～4%、非保險子公司 100% 計提資本、養老 REITs 至今零發行）。行業正從「郊區重資產」轉向「城心輕資產」。</w:t>
      </w:r>
    </w:p>
    <w:p>
      <w:pPr>
        <w:pStyle w:val="ListNumber"/>
      </w:pPr>
      <w:r>
        <w:rPr>
          <w:b/>
        </w:rPr>
        <w:t>未來 10～20 年最大的風險？</w:t>
      </w:r>
      <w:r>
        <w:t xml:space="preserve"> 利差損疊加長壽與低利率，是日本 1990 年代的鏡像；但中國有三個不同：監管動手更早（預定利率已動態化到 2.0%）、財政直接注資、以及資本市場被要求承接險資。海外投資短期內不會成為出路：境外占比 1.6%，外匯管制與地緣政治是硬約束，路徑會是「先港後外、先債後股、先人民幣後美元」。</w:t>
      </w:r>
    </w:p>
    <w:p>
      <w:pPr>
        <w:pStyle w:val="Heading2"/>
      </w:pPr>
      <w:r>
        <w:t>第一章　真需求還是政策注資；700 億的實際補充力道</w:t>
      </w:r>
    </w:p>
    <w:p>
      <w:pPr>
        <w:pStyle w:val="Heading3"/>
      </w:pPr>
      <w:r>
        <w:t>一、判斷框架</w:t>
      </w:r>
    </w:p>
    <w:p>
      <w:r>
        <w:t>資本需求由六個因素決定：償付能力水位與斜率、內生資本生成（獲利減分紅）、外部資本工具空間、壓力情境缺口、政策任務加碼、以及「誰有工具可以注」。結論分四級：真缺口、未雨綢繆、政策任務配套、純政策信號。</w:t>
      </w:r>
    </w:p>
    <w:p>
      <w:pPr>
        <w:pStyle w:val="Heading3"/>
      </w:pPr>
      <w:r>
        <w:t>二、五家逐一診斷</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8"/>
              </w:rPr>
            </w:r>
            <w:r>
              <w:rPr>
                <w:b/>
                <w:sz w:val="18"/>
              </w:rPr>
              <w:t>機構</w:t>
            </w:r>
          </w:p>
        </w:tc>
        <w:tc>
          <w:tcPr>
            <w:tcW w:type="dxa" w:w="1662"/>
          </w:tcPr>
          <w:p>
            <w:r>
              <w:rPr>
                <w:b/>
                <w:sz w:val="18"/>
              </w:rPr>
            </w:r>
            <w:r>
              <w:rPr>
                <w:b/>
                <w:sz w:val="18"/>
              </w:rPr>
              <w:t>最新核心／綜合充足率</w:t>
            </w:r>
          </w:p>
        </w:tc>
        <w:tc>
          <w:tcPr>
            <w:tcW w:type="dxa" w:w="1662"/>
          </w:tcPr>
          <w:p>
            <w:r>
              <w:rPr>
                <w:b/>
                <w:sz w:val="18"/>
              </w:rPr>
            </w:r>
            <w:r>
              <w:rPr>
                <w:b/>
                <w:sz w:val="18"/>
              </w:rPr>
              <w:t>近期斜率</w:t>
            </w:r>
          </w:p>
        </w:tc>
        <w:tc>
          <w:tcPr>
            <w:tcW w:type="dxa" w:w="1662"/>
          </w:tcPr>
          <w:p>
            <w:r>
              <w:rPr>
                <w:b/>
                <w:sz w:val="18"/>
              </w:rPr>
            </w:r>
            <w:r>
              <w:rPr>
                <w:b/>
                <w:sz w:val="18"/>
              </w:rPr>
              <w:t>內生資本</w:t>
            </w:r>
          </w:p>
        </w:tc>
        <w:tc>
          <w:tcPr>
            <w:tcW w:type="dxa" w:w="1662"/>
          </w:tcPr>
          <w:p>
            <w:r>
              <w:rPr>
                <w:b/>
                <w:sz w:val="18"/>
              </w:rPr>
            </w:r>
            <w:r>
              <w:rPr>
                <w:b/>
                <w:sz w:val="18"/>
              </w:rPr>
              <w:t>外部工具</w:t>
            </w:r>
          </w:p>
        </w:tc>
        <w:tc>
          <w:tcPr>
            <w:tcW w:type="dxa" w:w="1662"/>
          </w:tcPr>
          <w:p>
            <w:r>
              <w:rPr>
                <w:b/>
                <w:sz w:val="18"/>
              </w:rPr>
            </w:r>
            <w:r>
              <w:rPr>
                <w:b/>
                <w:sz w:val="18"/>
              </w:rPr>
              <w:t>診斷</w:t>
            </w:r>
          </w:p>
        </w:tc>
      </w:tr>
      <w:tr>
        <w:tc>
          <w:tcPr>
            <w:tcW w:type="dxa" w:w="1662"/>
          </w:tcPr>
          <w:p>
            <w:r>
              <w:rPr>
                <w:sz w:val="18"/>
              </w:rPr>
            </w:r>
            <w:r>
              <w:rPr>
                <w:sz w:val="18"/>
              </w:rPr>
              <w:t>中國人壽集團（注資 350 億）</w:t>
            </w:r>
          </w:p>
        </w:tc>
        <w:tc>
          <w:tcPr>
            <w:tcW w:type="dxa" w:w="1662"/>
          </w:tcPr>
          <w:p>
            <w:r>
              <w:rPr>
                <w:sz w:val="18"/>
              </w:rPr>
            </w:r>
            <w:r>
              <w:rPr>
                <w:sz w:val="18"/>
              </w:rPr>
              <w:t>國壽股份 2026Q2：156.8%／197.8%</w:t>
            </w:r>
          </w:p>
        </w:tc>
        <w:tc>
          <w:tcPr>
            <w:tcW w:type="dxa" w:w="1662"/>
          </w:tcPr>
          <w:p>
            <w:r>
              <w:rPr>
                <w:sz w:val="18"/>
              </w:rPr>
            </w:r>
            <w:r>
              <w:rPr>
                <w:sz w:val="18"/>
              </w:rPr>
              <w:t>2022 末 144%／207%→2023 末 158%→2024 末 153%／208%→2025 末 129%／174%→2026Q2 157%／198%，大起大落</w:t>
            </w:r>
          </w:p>
        </w:tc>
        <w:tc>
          <w:tcPr>
            <w:tcW w:type="dxa" w:w="1662"/>
          </w:tcPr>
          <w:p>
            <w:r>
              <w:rPr>
                <w:sz w:val="18"/>
              </w:rPr>
            </w:r>
            <w:r>
              <w:rPr>
                <w:sz w:val="18"/>
              </w:rPr>
              <w:t>2025 年淨利 1,541 億、2026 上半年 1,345 億；2025 年分紅 242 億</w:t>
            </w:r>
          </w:p>
        </w:tc>
        <w:tc>
          <w:tcPr>
            <w:tcW w:type="dxa" w:w="1662"/>
          </w:tcPr>
          <w:p>
            <w:r>
              <w:rPr>
                <w:sz w:val="18"/>
              </w:rPr>
            </w:r>
            <w:r>
              <w:rPr>
                <w:sz w:val="18"/>
              </w:rPr>
              <w:t>2024 年發 350 億資本補充債（2.15%）</w:t>
            </w:r>
          </w:p>
        </w:tc>
        <w:tc>
          <w:tcPr>
            <w:tcW w:type="dxa" w:w="1662"/>
          </w:tcPr>
          <w:p>
            <w:r>
              <w:rPr>
                <w:sz w:val="18"/>
              </w:rPr>
            </w:r>
            <w:r>
              <w:rPr>
                <w:b/>
                <w:sz w:val="18"/>
              </w:rPr>
              <w:t>未雨綢繆 + 政策任務</w:t>
            </w:r>
            <w:r>
              <w:rPr>
                <w:sz w:val="18"/>
              </w:rPr>
              <w:t>。上市公司資本充裕，注資卻打在集團母公司，合理推測是集團層面（含對廣發銀行等非保險子公司的持股在償二代下 100% 計提資本）比上市公司緊得多；集團合併口徑充足率未找到，此為推論</w:t>
            </w:r>
          </w:p>
        </w:tc>
      </w:tr>
      <w:tr>
        <w:tc>
          <w:tcPr>
            <w:tcW w:type="dxa" w:w="1662"/>
          </w:tcPr>
          <w:p>
            <w:r>
              <w:rPr>
                <w:sz w:val="18"/>
              </w:rPr>
            </w:r>
            <w:r>
              <w:rPr>
                <w:sz w:val="18"/>
              </w:rPr>
              <w:t>中國人保（注資 ≤150 億）</w:t>
            </w:r>
          </w:p>
        </w:tc>
        <w:tc>
          <w:tcPr>
            <w:tcW w:type="dxa" w:w="1662"/>
          </w:tcPr>
          <w:p>
            <w:r>
              <w:rPr>
                <w:sz w:val="18"/>
              </w:rPr>
            </w:r>
            <w:r>
              <w:rPr>
                <w:sz w:val="18"/>
              </w:rPr>
              <w:t>集團 2025 末：201.3%／249.9%；人保財險 2026Q1：216%／238%</w:t>
            </w:r>
          </w:p>
        </w:tc>
        <w:tc>
          <w:tcPr>
            <w:tcW w:type="dxa" w:w="1662"/>
          </w:tcPr>
          <w:p>
            <w:r>
              <w:rPr>
                <w:sz w:val="18"/>
              </w:rPr>
            </w:r>
            <w:r>
              <w:rPr>
                <w:sz w:val="18"/>
              </w:rPr>
              <w:t>集團 2023 末 194%／251%→2024 末 225%／281%→2025 末 201%／250%，</w:t>
            </w:r>
            <w:r>
              <w:rPr>
                <w:b/>
                <w:sz w:val="18"/>
              </w:rPr>
              <w:t>2025 年一年掉 24／31 個百分點</w:t>
            </w:r>
          </w:p>
        </w:tc>
        <w:tc>
          <w:tcPr>
            <w:tcW w:type="dxa" w:w="1662"/>
          </w:tcPr>
          <w:p>
            <w:r>
              <w:rPr>
                <w:sz w:val="18"/>
              </w:rPr>
            </w:r>
            <w:r>
              <w:rPr>
                <w:sz w:val="18"/>
              </w:rPr>
              <w:t>2025 年歸母淨利 466 億；2026Q1 年減 31%、上半年年增 38%，波動大；2025 年分紅 97 億</w:t>
            </w:r>
          </w:p>
        </w:tc>
        <w:tc>
          <w:tcPr>
            <w:tcW w:type="dxa" w:w="1662"/>
          </w:tcPr>
          <w:p>
            <w:r>
              <w:rPr>
                <w:sz w:val="18"/>
              </w:rPr>
            </w:r>
            <w:r>
              <w:rPr>
                <w:sz w:val="18"/>
              </w:rPr>
              <w:t>人保財險 2024 年發 120 億資本補充債</w:t>
            </w:r>
          </w:p>
        </w:tc>
        <w:tc>
          <w:tcPr>
            <w:tcW w:type="dxa" w:w="1662"/>
          </w:tcPr>
          <w:p>
            <w:r>
              <w:rPr>
                <w:sz w:val="18"/>
              </w:rPr>
            </w:r>
            <w:r>
              <w:rPr>
                <w:b/>
                <w:sz w:val="18"/>
              </w:rPr>
              <w:t>政策任務配套 + 信號</w:t>
            </w:r>
            <w:r>
              <w:rPr>
                <w:sz w:val="18"/>
              </w:rPr>
              <w:t>。財險為主、充足率行業最高之列；預案自述用途是巨災、農險、科技保險擴容與長期投資，不是補洞</w:t>
            </w:r>
          </w:p>
        </w:tc>
      </w:tr>
      <w:tr>
        <w:tc>
          <w:tcPr>
            <w:tcW w:type="dxa" w:w="1662"/>
          </w:tcPr>
          <w:p>
            <w:r>
              <w:rPr>
                <w:sz w:val="18"/>
              </w:rPr>
            </w:r>
            <w:r>
              <w:rPr>
                <w:sz w:val="18"/>
              </w:rPr>
              <w:t>中國太平集團（注資 70 億）</w:t>
            </w:r>
          </w:p>
        </w:tc>
        <w:tc>
          <w:tcPr>
            <w:tcW w:type="dxa" w:w="1662"/>
          </w:tcPr>
          <w:p>
            <w:r>
              <w:rPr>
                <w:sz w:val="18"/>
              </w:rPr>
            </w:r>
            <w:r>
              <w:rPr>
                <w:b/>
                <w:sz w:val="18"/>
              </w:rPr>
              <w:t>集團 2025 年末 146%／222%</w:t>
            </w:r>
            <w:r>
              <w:rPr>
                <w:sz w:val="18"/>
              </w:rPr>
              <w:t>（集團 2025 年度信息披露報告原文：實際資本 3,103.6 億、核心資本 2,046.1 億、最低資本 1,401.1 億）；太平人壽 2026Q1：133.5%／224.3%（原文：實際資本 2,614.5 億、核心資本 1,556.5 億、最低資本 1,165.8 億）</w:t>
            </w:r>
          </w:p>
        </w:tc>
        <w:tc>
          <w:tcPr>
            <w:tcW w:type="dxa" w:w="1662"/>
          </w:tcPr>
          <w:p>
            <w:r>
              <w:rPr>
                <w:sz w:val="18"/>
              </w:rPr>
            </w:r>
            <w:r>
              <w:rPr>
                <w:b/>
                <w:sz w:val="18"/>
              </w:rPr>
              <w:t>集團一年掉 32／49 個百分點</w:t>
            </w:r>
            <w:r>
              <w:rPr>
                <w:sz w:val="18"/>
              </w:rPr>
              <w:t>（2024 末 178%／271%）：實際資本減 252 億、核心資本減 155 億、最低資本增 164 億；太平人壽核心兩季少 22 個百分點，</w:t>
            </w:r>
            <w:r>
              <w:rPr>
                <w:b/>
                <w:sz w:val="18"/>
              </w:rPr>
              <w:t>公司自估 2026Q2 核心再降到 112.25%、綜合 201.05%</w:t>
            </w:r>
            <w:r>
              <w:rPr>
                <w:sz w:val="18"/>
              </w:rPr>
              <w:t>；2022 年末太平人壽核心曾只有 96.8%</w:t>
            </w:r>
          </w:p>
        </w:tc>
        <w:tc>
          <w:tcPr>
            <w:tcW w:type="dxa" w:w="1662"/>
          </w:tcPr>
          <w:p>
            <w:r>
              <w:rPr>
                <w:sz w:val="18"/>
              </w:rPr>
            </w:r>
            <w:r>
              <w:rPr>
                <w:sz w:val="18"/>
              </w:rPr>
              <w:t>太平控股 2025 年歸母淨利 270 億港元（+221%）、分紅 44 億港元</w:t>
            </w:r>
          </w:p>
        </w:tc>
        <w:tc>
          <w:tcPr>
            <w:tcW w:type="dxa" w:w="1662"/>
          </w:tcPr>
          <w:p>
            <w:r>
              <w:rPr>
                <w:sz w:val="18"/>
              </w:rPr>
            </w:r>
            <w:r>
              <w:rPr>
                <w:sz w:val="18"/>
              </w:rPr>
              <w:t>太平人壽 2023 與 2025 年共發 200 億永續債；惠譽 2025-01 對集團展望「負面」</w:t>
            </w:r>
          </w:p>
        </w:tc>
        <w:tc>
          <w:tcPr>
            <w:tcW w:type="dxa" w:w="1662"/>
          </w:tcPr>
          <w:p>
            <w:r>
              <w:rPr>
                <w:sz w:val="18"/>
              </w:rPr>
            </w:r>
            <w:r>
              <w:rPr>
                <w:b/>
                <w:sz w:val="18"/>
              </w:rPr>
              <w:t>最接近真缺口的商業險企，且原文證實</w:t>
            </w:r>
            <w:r>
              <w:rPr>
                <w:sz w:val="18"/>
              </w:rPr>
              <w:t>。集團核心溢額一年流失 237 億、太平人壽自估 2026Q2 核心溢額只剩 146 億；太平人壽的保單未來盈餘計入核心資本已頂到上限（核心二級應計入的 30.8 億全數因超限扣除，另有 918 億只能算附屬資本），等於沒有真金白銀進來，核心充足率就只會往下走。2023 年已由財政部增資 25 億（18.08 億入實收資本、6.92 億入資本公積，配合承接浙商銀行股權與華夏人壽處置），2026 年再補 70 億，是同一條線。不過仍遠在監管線之上。太平人壽 2026Q1 代理人 18.27 萬，與太保壽險 19 萬、新華 12.9 萬同屬頭部規模（使用者提供）</w:t>
            </w:r>
          </w:p>
        </w:tc>
      </w:tr>
      <w:tr>
        <w:tc>
          <w:tcPr>
            <w:tcW w:type="dxa" w:w="1662"/>
          </w:tcPr>
          <w:p>
            <w:r>
              <w:rPr>
                <w:sz w:val="18"/>
              </w:rPr>
            </w:r>
            <w:r>
              <w:rPr>
                <w:sz w:val="18"/>
              </w:rPr>
              <w:t>中國再保險（注資 30 億）</w:t>
            </w:r>
          </w:p>
        </w:tc>
        <w:tc>
          <w:tcPr>
            <w:tcW w:type="dxa" w:w="1662"/>
          </w:tcPr>
          <w:p>
            <w:r>
              <w:rPr>
                <w:sz w:val="18"/>
              </w:rPr>
            </w:r>
            <w:r>
              <w:rPr>
                <w:sz w:val="18"/>
              </w:rPr>
              <w:t>2026Q1 核心與綜合各較上季</w:t>
            </w:r>
            <w:r>
              <w:rPr>
                <w:b/>
                <w:sz w:val="18"/>
              </w:rPr>
              <w:t>暴跌約 102 個百分點</w:t>
            </w:r>
            <w:r>
              <w:rPr>
                <w:sz w:val="18"/>
              </w:rPr>
              <w:t>；絕對值未找到</w:t>
            </w:r>
          </w:p>
        </w:tc>
        <w:tc>
          <w:tcPr>
            <w:tcW w:type="dxa" w:w="1662"/>
          </w:tcPr>
          <w:p>
            <w:r>
              <w:rPr>
                <w:sz w:val="18"/>
              </w:rPr>
            </w:r>
            <w:r>
              <w:rPr>
                <w:sz w:val="18"/>
              </w:rPr>
              <w:t>2025 年末已較上年降 7.8／6.2 個百分點，2026Q1 再大跌</w:t>
            </w:r>
          </w:p>
        </w:tc>
        <w:tc>
          <w:tcPr>
            <w:tcW w:type="dxa" w:w="1662"/>
          </w:tcPr>
          <w:p>
            <w:r>
              <w:rPr>
                <w:sz w:val="18"/>
              </w:rPr>
            </w:r>
            <w:r>
              <w:rPr>
                <w:sz w:val="18"/>
              </w:rPr>
              <w:t>2025 年淨利 102 億（−7.8%）；分紅 33 億</w:t>
            </w:r>
          </w:p>
        </w:tc>
        <w:tc>
          <w:tcPr>
            <w:tcW w:type="dxa" w:w="1662"/>
          </w:tcPr>
          <w:p>
            <w:r>
              <w:rPr>
                <w:sz w:val="18"/>
              </w:rPr>
            </w:r>
            <w:r>
              <w:rPr>
                <w:sz w:val="18"/>
              </w:rPr>
              <w:t>子公司有資本補充債，明細未找到</w:t>
            </w:r>
          </w:p>
        </w:tc>
        <w:tc>
          <w:tcPr>
            <w:tcW w:type="dxa" w:w="1662"/>
          </w:tcPr>
          <w:p>
            <w:r>
              <w:rPr>
                <w:sz w:val="18"/>
              </w:rPr>
            </w:r>
            <w:r>
              <w:rPr>
                <w:b/>
                <w:sz w:val="18"/>
              </w:rPr>
              <w:t>局部真缺口</w:t>
            </w:r>
            <w:r>
              <w:rPr>
                <w:sz w:val="18"/>
              </w:rPr>
              <w:t>。Q1 最低資本單季增 146 億，其中市場風險最低資本增 156 億，實際資本只增 3.6 億；30 億注資只能回補 Q1 流失溢額（143 億）的兩成，是「止血」而非「補足」。行業再保險類別 2026Q1 綜合充足率也從 245% 掉到 207%，中再是主因</w:t>
            </w:r>
          </w:p>
        </w:tc>
      </w:tr>
      <w:tr>
        <w:tc>
          <w:tcPr>
            <w:tcW w:type="dxa" w:w="1662"/>
          </w:tcPr>
          <w:p>
            <w:r>
              <w:rPr>
                <w:sz w:val="18"/>
              </w:rPr>
            </w:r>
            <w:r>
              <w:rPr>
                <w:sz w:val="18"/>
              </w:rPr>
              <w:t>中國出口信用保險（注資 100 億）</w:t>
            </w:r>
          </w:p>
        </w:tc>
        <w:tc>
          <w:tcPr>
            <w:tcW w:type="dxa" w:w="1662"/>
          </w:tcPr>
          <w:p>
            <w:r>
              <w:rPr>
                <w:sz w:val="18"/>
              </w:rPr>
            </w:r>
            <w:r>
              <w:rPr>
                <w:sz w:val="18"/>
              </w:rPr>
              <w:t>未找到任何償付能力數字</w:t>
            </w:r>
          </w:p>
        </w:tc>
        <w:tc>
          <w:tcPr>
            <w:tcW w:type="dxa" w:w="1662"/>
          </w:tcPr>
          <w:p>
            <w:r>
              <w:rPr>
                <w:sz w:val="18"/>
              </w:rPr>
            </w:r>
            <w:r>
              <w:rPr>
                <w:sz w:val="18"/>
              </w:rPr>
              <w:t>—</w:t>
            </w:r>
          </w:p>
        </w:tc>
        <w:tc>
          <w:tcPr>
            <w:tcW w:type="dxa" w:w="1662"/>
          </w:tcPr>
          <w:p>
            <w:r>
              <w:rPr>
                <w:sz w:val="18"/>
              </w:rPr>
            </w:r>
            <w:r>
              <w:rPr>
                <w:sz w:val="18"/>
              </w:rPr>
              <w:t>不對外分紅；淨利未找到</w:t>
            </w:r>
          </w:p>
        </w:tc>
        <w:tc>
          <w:tcPr>
            <w:tcW w:type="dxa" w:w="1662"/>
          </w:tcPr>
          <w:p>
            <w:r>
              <w:rPr>
                <w:sz w:val="18"/>
              </w:rPr>
            </w:r>
            <w:r>
              <w:rPr>
                <w:sz w:val="18"/>
              </w:rPr>
              <w:t>無債券工具</w:t>
            </w:r>
          </w:p>
        </w:tc>
        <w:tc>
          <w:tcPr>
            <w:tcW w:type="dxa" w:w="1662"/>
          </w:tcPr>
          <w:p>
            <w:r>
              <w:rPr>
                <w:sz w:val="18"/>
              </w:rPr>
            </w:r>
            <w:r>
              <w:rPr>
                <w:b/>
                <w:sz w:val="18"/>
              </w:rPr>
              <w:t>政策任務</w:t>
            </w:r>
            <w:r>
              <w:rPr>
                <w:sz w:val="18"/>
              </w:rPr>
              <w:t>。2026 年 6 月註冊資本剛從 271.6 億增至 461.25 億（+70%），9 月再加 100 億（推算至 561.25 億），兩次合計近 290 億，對應外貿承保擴容。政策性機構的資訊揭露程度遠低於商業險企，本身就是一個問題</w:t>
            </w:r>
          </w:p>
        </w:tc>
      </w:tr>
    </w:tbl>
    <w:p/>
    <w:p>
      <w:pPr>
        <w:pStyle w:val="Heading3"/>
      </w:pPr>
      <w:r>
        <w:t>三、對照組：為什麼平安、太保、新華、泰康沒有份</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r>
            <w:r>
              <w:rPr>
                <w:b/>
                <w:sz w:val="18"/>
              </w:rPr>
              <w:t>公司</w:t>
            </w:r>
          </w:p>
        </w:tc>
        <w:tc>
          <w:tcPr>
            <w:tcW w:type="dxa" w:w="2493"/>
          </w:tcPr>
          <w:p>
            <w:r>
              <w:rPr>
                <w:b/>
                <w:sz w:val="18"/>
              </w:rPr>
            </w:r>
            <w:r>
              <w:rPr>
                <w:b/>
                <w:sz w:val="18"/>
              </w:rPr>
              <w:t>最新充足率</w:t>
            </w:r>
          </w:p>
        </w:tc>
        <w:tc>
          <w:tcPr>
            <w:tcW w:type="dxa" w:w="2493"/>
          </w:tcPr>
          <w:p>
            <w:r>
              <w:rPr>
                <w:b/>
                <w:sz w:val="18"/>
              </w:rPr>
            </w:r>
            <w:r>
              <w:rPr>
                <w:b/>
                <w:sz w:val="18"/>
              </w:rPr>
              <w:t>股權</w:t>
            </w:r>
          </w:p>
        </w:tc>
        <w:tc>
          <w:tcPr>
            <w:tcW w:type="dxa" w:w="2493"/>
          </w:tcPr>
          <w:p>
            <w:r>
              <w:rPr>
                <w:b/>
                <w:sz w:val="18"/>
              </w:rPr>
            </w:r>
            <w:r>
              <w:rPr>
                <w:b/>
                <w:sz w:val="18"/>
              </w:rPr>
              <w:t>未注資原因</w:t>
            </w:r>
          </w:p>
        </w:tc>
      </w:tr>
      <w:tr>
        <w:tc>
          <w:tcPr>
            <w:tcW w:type="dxa" w:w="2493"/>
          </w:tcPr>
          <w:p>
            <w:r>
              <w:rPr>
                <w:sz w:val="18"/>
              </w:rPr>
            </w:r>
            <w:r>
              <w:rPr>
                <w:sz w:val="18"/>
              </w:rPr>
              <w:t>平安人壽</w:t>
            </w:r>
          </w:p>
        </w:tc>
        <w:tc>
          <w:tcPr>
            <w:tcW w:type="dxa" w:w="2493"/>
          </w:tcPr>
          <w:p>
            <w:r>
              <w:rPr>
                <w:sz w:val="18"/>
              </w:rPr>
            </w:r>
            <w:r>
              <w:rPr>
                <w:sz w:val="18"/>
              </w:rPr>
              <w:t>2026Q1 核心 131%／綜合 183%</w:t>
            </w:r>
          </w:p>
        </w:tc>
        <w:tc>
          <w:tcPr>
            <w:tcW w:type="dxa" w:w="2493"/>
          </w:tcPr>
          <w:p>
            <w:r>
              <w:rPr>
                <w:sz w:val="18"/>
              </w:rPr>
            </w:r>
            <w:r>
              <w:rPr>
                <w:sz w:val="18"/>
              </w:rPr>
              <w:t>無實際控制人</w:t>
            </w:r>
          </w:p>
        </w:tc>
        <w:tc>
          <w:tcPr>
            <w:tcW w:type="dxa" w:w="2493"/>
          </w:tcPr>
          <w:p>
            <w:r>
              <w:rPr>
                <w:sz w:val="18"/>
              </w:rPr>
            </w:r>
            <w:r>
              <w:rPr>
                <w:sz w:val="18"/>
              </w:rPr>
              <w:t>財政部沒有股權工具</w:t>
            </w:r>
          </w:p>
        </w:tc>
      </w:tr>
      <w:tr>
        <w:tc>
          <w:tcPr>
            <w:tcW w:type="dxa" w:w="2493"/>
          </w:tcPr>
          <w:p>
            <w:r>
              <w:rPr>
                <w:sz w:val="18"/>
              </w:rPr>
            </w:r>
            <w:r>
              <w:rPr>
                <w:sz w:val="18"/>
              </w:rPr>
              <w:t>太保壽險</w:t>
            </w:r>
          </w:p>
        </w:tc>
        <w:tc>
          <w:tcPr>
            <w:tcW w:type="dxa" w:w="2493"/>
          </w:tcPr>
          <w:p>
            <w:r>
              <w:rPr>
                <w:sz w:val="18"/>
              </w:rPr>
            </w:r>
            <w:r>
              <w:rPr>
                <w:sz w:val="18"/>
              </w:rPr>
              <w:t>2026Q1 146%／214%</w:t>
            </w:r>
          </w:p>
        </w:tc>
        <w:tc>
          <w:tcPr>
            <w:tcW w:type="dxa" w:w="2493"/>
          </w:tcPr>
          <w:p>
            <w:r>
              <w:rPr>
                <w:sz w:val="18"/>
              </w:rPr>
            </w:r>
            <w:r>
              <w:rPr>
                <w:sz w:val="18"/>
              </w:rPr>
              <w:t>上海國資 + 中央企業混合，無實際控制人</w:t>
            </w:r>
          </w:p>
        </w:tc>
        <w:tc>
          <w:tcPr>
            <w:tcW w:type="dxa" w:w="2493"/>
          </w:tcPr>
          <w:p>
            <w:r>
              <w:rPr>
                <w:sz w:val="18"/>
              </w:rPr>
            </w:r>
            <w:r>
              <w:rPr>
                <w:sz w:val="18"/>
              </w:rPr>
              <w:t>同上</w:t>
            </w:r>
          </w:p>
        </w:tc>
      </w:tr>
      <w:tr>
        <w:tc>
          <w:tcPr>
            <w:tcW w:type="dxa" w:w="2493"/>
          </w:tcPr>
          <w:p>
            <w:r>
              <w:rPr>
                <w:sz w:val="18"/>
              </w:rPr>
            </w:r>
            <w:r>
              <w:rPr>
                <w:sz w:val="18"/>
              </w:rPr>
              <w:t>新華保險</w:t>
            </w:r>
          </w:p>
        </w:tc>
        <w:tc>
          <w:tcPr>
            <w:tcW w:type="dxa" w:w="2493"/>
          </w:tcPr>
          <w:p>
            <w:r>
              <w:rPr>
                <w:sz w:val="18"/>
              </w:rPr>
            </w:r>
            <w:r>
              <w:rPr>
                <w:sz w:val="18"/>
              </w:rPr>
              <w:t>2026Q2 核心 126%／綜合 196%，綜合連續三期下滑（256%→204%→196%）</w:t>
            </w:r>
          </w:p>
        </w:tc>
        <w:tc>
          <w:tcPr>
            <w:tcW w:type="dxa" w:w="2493"/>
          </w:tcPr>
          <w:p>
            <w:r>
              <w:rPr>
                <w:sz w:val="18"/>
              </w:rPr>
            </w:r>
            <w:r>
              <w:rPr>
                <w:sz w:val="18"/>
              </w:rPr>
              <w:t>中央匯金 31.3% + 寶武 12.1%</w:t>
            </w:r>
          </w:p>
        </w:tc>
        <w:tc>
          <w:tcPr>
            <w:tcW w:type="dxa" w:w="2493"/>
          </w:tcPr>
          <w:p>
            <w:r>
              <w:rPr>
                <w:sz w:val="18"/>
              </w:rPr>
            </w:r>
            <w:r>
              <w:rPr>
                <w:sz w:val="18"/>
              </w:rPr>
              <w:t>匯金持股而非財政部直接持股；</w:t>
            </w:r>
            <w:r>
              <w:rPr>
                <w:b/>
                <w:sz w:val="18"/>
              </w:rPr>
              <w:t>其資本斜率比五家中的三家更陡</w:t>
            </w:r>
          </w:p>
        </w:tc>
      </w:tr>
      <w:tr>
        <w:tc>
          <w:tcPr>
            <w:tcW w:type="dxa" w:w="2493"/>
          </w:tcPr>
          <w:p>
            <w:r>
              <w:rPr>
                <w:sz w:val="18"/>
              </w:rPr>
            </w:r>
            <w:r>
              <w:rPr>
                <w:sz w:val="18"/>
              </w:rPr>
              <w:t>泰康人壽</w:t>
            </w:r>
          </w:p>
        </w:tc>
        <w:tc>
          <w:tcPr>
            <w:tcW w:type="dxa" w:w="2493"/>
          </w:tcPr>
          <w:p>
            <w:r>
              <w:rPr>
                <w:sz w:val="18"/>
              </w:rPr>
            </w:r>
            <w:r>
              <w:rPr>
                <w:sz w:val="18"/>
              </w:rPr>
              <w:t>2026Q1 160%／236%，較 2025Q2 的 224%／321% 大幅回落</w:t>
            </w:r>
          </w:p>
        </w:tc>
        <w:tc>
          <w:tcPr>
            <w:tcW w:type="dxa" w:w="2493"/>
          </w:tcPr>
          <w:p>
            <w:r>
              <w:rPr>
                <w:sz w:val="18"/>
              </w:rPr>
            </w:r>
            <w:r>
              <w:rPr>
                <w:sz w:val="18"/>
              </w:rPr>
              <w:t>民營</w:t>
            </w:r>
          </w:p>
        </w:tc>
        <w:tc>
          <w:tcPr>
            <w:tcW w:type="dxa" w:w="2493"/>
          </w:tcPr>
          <w:p>
            <w:r>
              <w:rPr>
                <w:sz w:val="18"/>
              </w:rPr>
            </w:r>
            <w:r>
              <w:rPr>
                <w:sz w:val="18"/>
              </w:rPr>
              <w:t>不可能由財政注資</w:t>
            </w:r>
          </w:p>
        </w:tc>
      </w:tr>
      <w:tr>
        <w:tc>
          <w:tcPr>
            <w:tcW w:type="dxa" w:w="2493"/>
          </w:tcPr>
          <w:p>
            <w:r>
              <w:rPr>
                <w:sz w:val="18"/>
              </w:rPr>
            </w:r>
            <w:r>
              <w:rPr>
                <w:sz w:val="18"/>
              </w:rPr>
              <w:t>中郵人壽（額外對照）</w:t>
            </w:r>
          </w:p>
        </w:tc>
        <w:tc>
          <w:tcPr>
            <w:tcW w:type="dxa" w:w="2493"/>
          </w:tcPr>
          <w:p>
            <w:r>
              <w:rPr>
                <w:sz w:val="18"/>
              </w:rPr>
            </w:r>
            <w:r>
              <w:rPr>
                <w:sz w:val="18"/>
              </w:rPr>
              <w:t>2026Q1 核心 97%、綜合 130%，72 家壽險排第 57</w:t>
            </w:r>
          </w:p>
        </w:tc>
        <w:tc>
          <w:tcPr>
            <w:tcW w:type="dxa" w:w="2493"/>
          </w:tcPr>
          <w:p>
            <w:r>
              <w:rPr>
                <w:sz w:val="18"/>
              </w:rPr>
            </w:r>
            <w:r>
              <w:rPr>
                <w:sz w:val="18"/>
              </w:rPr>
              <w:t>郵政集團</w:t>
            </w:r>
          </w:p>
        </w:tc>
        <w:tc>
          <w:tcPr>
            <w:tcW w:type="dxa" w:w="2493"/>
          </w:tcPr>
          <w:p>
            <w:r>
              <w:rPr>
                <w:sz w:val="18"/>
              </w:rPr>
            </w:r>
            <w:r>
              <w:rPr>
                <w:sz w:val="18"/>
              </w:rPr>
              <w:t>靠增資 39.8 億與永續債 53 億自救</w:t>
            </w:r>
          </w:p>
        </w:tc>
      </w:tr>
    </w:tbl>
    <w:p/>
    <w:p>
      <w:r>
        <w:t>這張表說明一件事：</w:t>
      </w:r>
      <w:r>
        <w:rPr>
          <w:b/>
        </w:rPr>
        <w:t>注資名單是「財政部持有誰」決定的，不是「誰最需要」決定的</w:t>
      </w:r>
      <w:r>
        <w:t>。行業性的資本壓力（利率下行、償二代二期）落在每一家身上，財政部只對自己直接控股的五家出手，其他公司要自己發債、增資或減少分紅。</w:t>
      </w:r>
    </w:p>
    <w:p>
      <w:pPr>
        <w:pStyle w:val="Heading3"/>
      </w:pPr>
      <w:r>
        <w:t>四、補充力道量表（主代理親自演算）</w:t>
      </w:r>
    </w:p>
    <w:p>
      <w:r>
        <w:t>假設注資全額計入核心一級資本、最低資本不變、集團注資全額下沉到主要子公司：</w:t>
      </w:r>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Pr>
                <w:b/>
                <w:sz w:val="18"/>
              </w:rPr>
            </w:r>
            <w:r>
              <w:rPr>
                <w:b/>
                <w:sz w:val="18"/>
              </w:rPr>
              <w:t>機構</w:t>
            </w:r>
          </w:p>
        </w:tc>
        <w:tc>
          <w:tcPr>
            <w:tcW w:type="dxa" w:w="997"/>
          </w:tcPr>
          <w:p>
            <w:r>
              <w:rPr>
                <w:b/>
                <w:sz w:val="18"/>
              </w:rPr>
            </w:r>
            <w:r>
              <w:rPr>
                <w:b/>
                <w:sz w:val="18"/>
              </w:rPr>
              <w:t>注資</w:t>
            </w:r>
          </w:p>
        </w:tc>
        <w:tc>
          <w:tcPr>
            <w:tcW w:type="dxa" w:w="997"/>
          </w:tcPr>
          <w:p>
            <w:r>
              <w:rPr>
                <w:b/>
                <w:sz w:val="18"/>
              </w:rPr>
            </w:r>
            <w:r>
              <w:rPr>
                <w:b/>
                <w:sz w:val="18"/>
              </w:rPr>
              <w:t>核心資本</w:t>
            </w:r>
          </w:p>
        </w:tc>
        <w:tc>
          <w:tcPr>
            <w:tcW w:type="dxa" w:w="997"/>
          </w:tcPr>
          <w:p>
            <w:r>
              <w:rPr>
                <w:b/>
                <w:sz w:val="18"/>
              </w:rPr>
            </w:r>
            <w:r>
              <w:rPr>
                <w:b/>
                <w:sz w:val="18"/>
              </w:rPr>
              <w:t>最低資本</w:t>
            </w:r>
          </w:p>
        </w:tc>
        <w:tc>
          <w:tcPr>
            <w:tcW w:type="dxa" w:w="997"/>
          </w:tcPr>
          <w:p>
            <w:r>
              <w:rPr>
                <w:b/>
                <w:sz w:val="18"/>
              </w:rPr>
            </w:r>
            <w:r>
              <w:rPr>
                <w:b/>
                <w:sz w:val="18"/>
              </w:rPr>
              <w:t>注資÷核心資本</w:t>
            </w:r>
          </w:p>
        </w:tc>
        <w:tc>
          <w:tcPr>
            <w:tcW w:type="dxa" w:w="997"/>
          </w:tcPr>
          <w:p>
            <w:r>
              <w:rPr>
                <w:b/>
                <w:sz w:val="18"/>
              </w:rPr>
            </w:r>
            <w:r>
              <w:rPr>
                <w:b/>
                <w:sz w:val="18"/>
              </w:rPr>
              <w:t>注資÷最低資本</w:t>
            </w:r>
          </w:p>
        </w:tc>
        <w:tc>
          <w:tcPr>
            <w:tcW w:type="dxa" w:w="997"/>
          </w:tcPr>
          <w:p>
            <w:r>
              <w:rPr>
                <w:b/>
                <w:sz w:val="18"/>
              </w:rPr>
            </w:r>
            <w:r>
              <w:rPr>
                <w:b/>
                <w:sz w:val="18"/>
              </w:rPr>
              <w:t>充足率理論提升</w:t>
            </w:r>
          </w:p>
        </w:tc>
        <w:tc>
          <w:tcPr>
            <w:tcW w:type="dxa" w:w="997"/>
          </w:tcPr>
          <w:p>
            <w:r>
              <w:rPr>
                <w:b/>
                <w:sz w:val="18"/>
              </w:rPr>
            </w:r>
            <w:r>
              <w:rPr>
                <w:b/>
                <w:sz w:val="18"/>
              </w:rPr>
              <w:t>注資後核心／綜合</w:t>
            </w:r>
          </w:p>
        </w:tc>
        <w:tc>
          <w:tcPr>
            <w:tcW w:type="dxa" w:w="997"/>
          </w:tcPr>
          <w:p>
            <w:r>
              <w:rPr>
                <w:b/>
                <w:sz w:val="18"/>
              </w:rPr>
            </w:r>
            <w:r>
              <w:rPr>
                <w:b/>
                <w:sz w:val="18"/>
              </w:rPr>
              <w:t>注資÷2025 分紅</w:t>
            </w:r>
          </w:p>
        </w:tc>
        <w:tc>
          <w:tcPr>
            <w:tcW w:type="dxa" w:w="997"/>
          </w:tcPr>
          <w:p>
            <w:r>
              <w:rPr>
                <w:b/>
                <w:sz w:val="18"/>
              </w:rPr>
            </w:r>
            <w:r>
              <w:rPr>
                <w:b/>
                <w:sz w:val="18"/>
              </w:rPr>
              <w:t>注資÷近三年發債</w:t>
            </w:r>
          </w:p>
        </w:tc>
      </w:tr>
      <w:tr>
        <w:tc>
          <w:tcPr>
            <w:tcW w:type="dxa" w:w="997"/>
          </w:tcPr>
          <w:p>
            <w:r>
              <w:rPr>
                <w:sz w:val="18"/>
              </w:rPr>
            </w:r>
            <w:r>
              <w:rPr>
                <w:sz w:val="18"/>
              </w:rPr>
              <w:t>國壽股份（2026Q2）</w:t>
            </w:r>
          </w:p>
        </w:tc>
        <w:tc>
          <w:tcPr>
            <w:tcW w:type="dxa" w:w="997"/>
          </w:tcPr>
          <w:p>
            <w:r>
              <w:rPr>
                <w:sz w:val="18"/>
              </w:rPr>
            </w:r>
            <w:r>
              <w:rPr>
                <w:sz w:val="18"/>
              </w:rPr>
              <w:t>350</w:t>
            </w:r>
          </w:p>
        </w:tc>
        <w:tc>
          <w:tcPr>
            <w:tcW w:type="dxa" w:w="997"/>
          </w:tcPr>
          <w:p>
            <w:r>
              <w:rPr>
                <w:sz w:val="18"/>
              </w:rPr>
            </w:r>
            <w:r>
              <w:rPr>
                <w:sz w:val="18"/>
              </w:rPr>
              <w:t>10,582</w:t>
            </w:r>
          </w:p>
        </w:tc>
        <w:tc>
          <w:tcPr>
            <w:tcW w:type="dxa" w:w="997"/>
          </w:tcPr>
          <w:p>
            <w:r>
              <w:rPr>
                <w:sz w:val="18"/>
              </w:rPr>
            </w:r>
            <w:r>
              <w:rPr>
                <w:sz w:val="18"/>
              </w:rPr>
              <w:t>6,748</w:t>
            </w:r>
          </w:p>
        </w:tc>
        <w:tc>
          <w:tcPr>
            <w:tcW w:type="dxa" w:w="997"/>
          </w:tcPr>
          <w:p>
            <w:r>
              <w:rPr>
                <w:sz w:val="18"/>
              </w:rPr>
            </w:r>
            <w:r>
              <w:rPr>
                <w:sz w:val="18"/>
              </w:rPr>
              <w:t>3.3%</w:t>
            </w:r>
          </w:p>
        </w:tc>
        <w:tc>
          <w:tcPr>
            <w:tcW w:type="dxa" w:w="997"/>
          </w:tcPr>
          <w:p>
            <w:r>
              <w:rPr>
                <w:sz w:val="18"/>
              </w:rPr>
            </w:r>
            <w:r>
              <w:rPr>
                <w:sz w:val="18"/>
              </w:rPr>
              <w:t>5.2%</w:t>
            </w:r>
          </w:p>
        </w:tc>
        <w:tc>
          <w:tcPr>
            <w:tcW w:type="dxa" w:w="997"/>
          </w:tcPr>
          <w:p>
            <w:r>
              <w:rPr>
                <w:sz w:val="18"/>
              </w:rPr>
            </w:r>
            <w:r>
              <w:rPr>
                <w:sz w:val="18"/>
              </w:rPr>
              <w:t>+5.2 個百分點</w:t>
            </w:r>
          </w:p>
        </w:tc>
        <w:tc>
          <w:tcPr>
            <w:tcW w:type="dxa" w:w="997"/>
          </w:tcPr>
          <w:p>
            <w:r>
              <w:rPr>
                <w:sz w:val="18"/>
              </w:rPr>
            </w:r>
            <w:r>
              <w:rPr>
                <w:sz w:val="18"/>
              </w:rPr>
              <w:t>162%／203%</w:t>
            </w:r>
          </w:p>
        </w:tc>
        <w:tc>
          <w:tcPr>
            <w:tcW w:type="dxa" w:w="997"/>
          </w:tcPr>
          <w:p>
            <w:r>
              <w:rPr>
                <w:sz w:val="18"/>
              </w:rPr>
            </w:r>
            <w:r>
              <w:rPr>
                <w:sz w:val="18"/>
              </w:rPr>
              <w:t>1.4 倍</w:t>
            </w:r>
          </w:p>
        </w:tc>
        <w:tc>
          <w:tcPr>
            <w:tcW w:type="dxa" w:w="997"/>
          </w:tcPr>
          <w:p>
            <w:r>
              <w:rPr>
                <w:sz w:val="18"/>
              </w:rPr>
            </w:r>
            <w:r>
              <w:rPr>
                <w:sz w:val="18"/>
              </w:rPr>
              <w:t>1.0 倍</w:t>
            </w:r>
          </w:p>
        </w:tc>
      </w:tr>
      <w:tr>
        <w:tc>
          <w:tcPr>
            <w:tcW w:type="dxa" w:w="997"/>
          </w:tcPr>
          <w:p>
            <w:r>
              <w:rPr>
                <w:sz w:val="18"/>
              </w:rPr>
            </w:r>
            <w:r>
              <w:rPr>
                <w:sz w:val="18"/>
              </w:rPr>
              <w:t>人保集團（2025 末）</w:t>
            </w:r>
          </w:p>
        </w:tc>
        <w:tc>
          <w:tcPr>
            <w:tcW w:type="dxa" w:w="997"/>
          </w:tcPr>
          <w:p>
            <w:r>
              <w:rPr>
                <w:sz w:val="18"/>
              </w:rPr>
            </w:r>
            <w:r>
              <w:rPr>
                <w:sz w:val="18"/>
              </w:rPr>
              <w:t>150</w:t>
            </w:r>
          </w:p>
        </w:tc>
        <w:tc>
          <w:tcPr>
            <w:tcW w:type="dxa" w:w="997"/>
          </w:tcPr>
          <w:p>
            <w:r>
              <w:rPr>
                <w:sz w:val="18"/>
              </w:rPr>
            </w:r>
            <w:r>
              <w:rPr>
                <w:sz w:val="18"/>
              </w:rPr>
              <w:t>4,492</w:t>
            </w:r>
          </w:p>
        </w:tc>
        <w:tc>
          <w:tcPr>
            <w:tcW w:type="dxa" w:w="997"/>
          </w:tcPr>
          <w:p>
            <w:r>
              <w:rPr>
                <w:sz w:val="18"/>
              </w:rPr>
            </w:r>
            <w:r>
              <w:rPr>
                <w:sz w:val="18"/>
              </w:rPr>
              <w:t>2,232</w:t>
            </w:r>
          </w:p>
        </w:tc>
        <w:tc>
          <w:tcPr>
            <w:tcW w:type="dxa" w:w="997"/>
          </w:tcPr>
          <w:p>
            <w:r>
              <w:rPr>
                <w:sz w:val="18"/>
              </w:rPr>
            </w:r>
            <w:r>
              <w:rPr>
                <w:sz w:val="18"/>
              </w:rPr>
              <w:t>3.3%</w:t>
            </w:r>
          </w:p>
        </w:tc>
        <w:tc>
          <w:tcPr>
            <w:tcW w:type="dxa" w:w="997"/>
          </w:tcPr>
          <w:p>
            <w:r>
              <w:rPr>
                <w:sz w:val="18"/>
              </w:rPr>
            </w:r>
            <w:r>
              <w:rPr>
                <w:sz w:val="18"/>
              </w:rPr>
              <w:t>6.7%</w:t>
            </w:r>
          </w:p>
        </w:tc>
        <w:tc>
          <w:tcPr>
            <w:tcW w:type="dxa" w:w="997"/>
          </w:tcPr>
          <w:p>
            <w:r>
              <w:rPr>
                <w:sz w:val="18"/>
              </w:rPr>
            </w:r>
            <w:r>
              <w:rPr>
                <w:sz w:val="18"/>
              </w:rPr>
              <w:t>+6.7 個百分點</w:t>
            </w:r>
          </w:p>
        </w:tc>
        <w:tc>
          <w:tcPr>
            <w:tcW w:type="dxa" w:w="997"/>
          </w:tcPr>
          <w:p>
            <w:r>
              <w:rPr>
                <w:sz w:val="18"/>
              </w:rPr>
            </w:r>
            <w:r>
              <w:rPr>
                <w:sz w:val="18"/>
              </w:rPr>
              <w:t>208%／257%</w:t>
            </w:r>
          </w:p>
        </w:tc>
        <w:tc>
          <w:tcPr>
            <w:tcW w:type="dxa" w:w="997"/>
          </w:tcPr>
          <w:p>
            <w:r>
              <w:rPr>
                <w:sz w:val="18"/>
              </w:rPr>
            </w:r>
            <w:r>
              <w:rPr>
                <w:sz w:val="18"/>
              </w:rPr>
              <w:t>1.5 倍</w:t>
            </w:r>
          </w:p>
        </w:tc>
        <w:tc>
          <w:tcPr>
            <w:tcW w:type="dxa" w:w="997"/>
          </w:tcPr>
          <w:p>
            <w:r>
              <w:rPr>
                <w:sz w:val="18"/>
              </w:rPr>
            </w:r>
            <w:r>
              <w:rPr>
                <w:sz w:val="18"/>
              </w:rPr>
              <w:t>1.3 倍</w:t>
            </w:r>
          </w:p>
        </w:tc>
      </w:tr>
      <w:tr>
        <w:tc>
          <w:tcPr>
            <w:tcW w:type="dxa" w:w="997"/>
          </w:tcPr>
          <w:p>
            <w:r>
              <w:rPr>
                <w:sz w:val="18"/>
              </w:rPr>
            </w:r>
            <w:r>
              <w:rPr>
                <w:sz w:val="18"/>
              </w:rPr>
              <w:t>太平集團（2025 末，原文）</w:t>
            </w:r>
          </w:p>
        </w:tc>
        <w:tc>
          <w:tcPr>
            <w:tcW w:type="dxa" w:w="997"/>
          </w:tcPr>
          <w:p>
            <w:r>
              <w:rPr>
                <w:sz w:val="18"/>
              </w:rPr>
            </w:r>
            <w:r>
              <w:rPr>
                <w:sz w:val="18"/>
              </w:rPr>
              <w:t>70</w:t>
            </w:r>
          </w:p>
        </w:tc>
        <w:tc>
          <w:tcPr>
            <w:tcW w:type="dxa" w:w="997"/>
          </w:tcPr>
          <w:p>
            <w:r>
              <w:rPr>
                <w:sz w:val="18"/>
              </w:rPr>
            </w:r>
            <w:r>
              <w:rPr>
                <w:sz w:val="18"/>
              </w:rPr>
              <w:t>2,046</w:t>
            </w:r>
          </w:p>
        </w:tc>
        <w:tc>
          <w:tcPr>
            <w:tcW w:type="dxa" w:w="997"/>
          </w:tcPr>
          <w:p>
            <w:r>
              <w:rPr>
                <w:sz w:val="18"/>
              </w:rPr>
            </w:r>
            <w:r>
              <w:rPr>
                <w:sz w:val="18"/>
              </w:rPr>
              <w:t>1,401</w:t>
            </w:r>
          </w:p>
        </w:tc>
        <w:tc>
          <w:tcPr>
            <w:tcW w:type="dxa" w:w="997"/>
          </w:tcPr>
          <w:p>
            <w:r>
              <w:rPr>
                <w:sz w:val="18"/>
              </w:rPr>
            </w:r>
            <w:r>
              <w:rPr>
                <w:sz w:val="18"/>
              </w:rPr>
              <w:t>3.4%</w:t>
            </w:r>
          </w:p>
        </w:tc>
        <w:tc>
          <w:tcPr>
            <w:tcW w:type="dxa" w:w="997"/>
          </w:tcPr>
          <w:p>
            <w:r>
              <w:rPr>
                <w:sz w:val="18"/>
              </w:rPr>
            </w:r>
            <w:r>
              <w:rPr>
                <w:sz w:val="18"/>
              </w:rPr>
              <w:t>5.0%</w:t>
            </w:r>
          </w:p>
        </w:tc>
        <w:tc>
          <w:tcPr>
            <w:tcW w:type="dxa" w:w="997"/>
          </w:tcPr>
          <w:p>
            <w:r>
              <w:rPr>
                <w:sz w:val="18"/>
              </w:rPr>
            </w:r>
            <w:r>
              <w:rPr>
                <w:sz w:val="18"/>
              </w:rPr>
              <w:t>+5.0 個百分點</w:t>
            </w:r>
          </w:p>
        </w:tc>
        <w:tc>
          <w:tcPr>
            <w:tcW w:type="dxa" w:w="997"/>
          </w:tcPr>
          <w:p>
            <w:r>
              <w:rPr>
                <w:sz w:val="18"/>
              </w:rPr>
            </w:r>
            <w:r>
              <w:rPr>
                <w:sz w:val="18"/>
              </w:rPr>
              <w:t>151%／227%</w:t>
            </w:r>
          </w:p>
        </w:tc>
        <w:tc>
          <w:tcPr>
            <w:tcW w:type="dxa" w:w="997"/>
          </w:tcPr>
          <w:p>
            <w:r>
              <w:rPr>
                <w:sz w:val="18"/>
              </w:rPr>
            </w:r>
            <w:r>
              <w:rPr>
                <w:sz w:val="18"/>
              </w:rPr>
              <w:t>1.7 倍</w:t>
            </w:r>
          </w:p>
        </w:tc>
        <w:tc>
          <w:tcPr>
            <w:tcW w:type="dxa" w:w="997"/>
          </w:tcPr>
          <w:p>
            <w:r>
              <w:rPr>
                <w:sz w:val="18"/>
              </w:rPr>
            </w:r>
            <w:r>
              <w:rPr>
                <w:sz w:val="18"/>
              </w:rPr>
              <w:t>0.35 倍</w:t>
            </w:r>
          </w:p>
        </w:tc>
      </w:tr>
      <w:tr>
        <w:tc>
          <w:tcPr>
            <w:tcW w:type="dxa" w:w="997"/>
          </w:tcPr>
          <w:p>
            <w:r>
              <w:rPr>
                <w:sz w:val="18"/>
              </w:rPr>
            </w:r>
            <w:r>
              <w:rPr>
                <w:sz w:val="18"/>
              </w:rPr>
              <w:t>太平人壽（2026Q1，原文；假設 70 億全額下沉）</w:t>
            </w:r>
          </w:p>
        </w:tc>
        <w:tc>
          <w:tcPr>
            <w:tcW w:type="dxa" w:w="997"/>
          </w:tcPr>
          <w:p>
            <w:r>
              <w:rPr>
                <w:sz w:val="18"/>
              </w:rPr>
            </w:r>
            <w:r>
              <w:rPr>
                <w:sz w:val="18"/>
              </w:rPr>
              <w:t>70</w:t>
            </w:r>
          </w:p>
        </w:tc>
        <w:tc>
          <w:tcPr>
            <w:tcW w:type="dxa" w:w="997"/>
          </w:tcPr>
          <w:p>
            <w:r>
              <w:rPr>
                <w:sz w:val="18"/>
              </w:rPr>
            </w:r>
            <w:r>
              <w:rPr>
                <w:sz w:val="18"/>
              </w:rPr>
              <w:t>1,557</w:t>
            </w:r>
          </w:p>
        </w:tc>
        <w:tc>
          <w:tcPr>
            <w:tcW w:type="dxa" w:w="997"/>
          </w:tcPr>
          <w:p>
            <w:r>
              <w:rPr>
                <w:sz w:val="18"/>
              </w:rPr>
            </w:r>
            <w:r>
              <w:rPr>
                <w:sz w:val="18"/>
              </w:rPr>
              <w:t>1,166</w:t>
            </w:r>
          </w:p>
        </w:tc>
        <w:tc>
          <w:tcPr>
            <w:tcW w:type="dxa" w:w="997"/>
          </w:tcPr>
          <w:p>
            <w:r>
              <w:rPr>
                <w:sz w:val="18"/>
              </w:rPr>
            </w:r>
            <w:r>
              <w:rPr>
                <w:sz w:val="18"/>
              </w:rPr>
              <w:t>4.5%</w:t>
            </w:r>
          </w:p>
        </w:tc>
        <w:tc>
          <w:tcPr>
            <w:tcW w:type="dxa" w:w="997"/>
          </w:tcPr>
          <w:p>
            <w:r>
              <w:rPr>
                <w:sz w:val="18"/>
              </w:rPr>
            </w:r>
            <w:r>
              <w:rPr>
                <w:sz w:val="18"/>
              </w:rPr>
              <w:t>6.0%</w:t>
            </w:r>
          </w:p>
        </w:tc>
        <w:tc>
          <w:tcPr>
            <w:tcW w:type="dxa" w:w="997"/>
          </w:tcPr>
          <w:p>
            <w:r>
              <w:rPr>
                <w:sz w:val="18"/>
              </w:rPr>
            </w:r>
            <w:r>
              <w:rPr>
                <w:sz w:val="18"/>
              </w:rPr>
              <w:t>+6.0 個百分點；若計入保單未來盈餘上限釋放的乘數（每 1 元新股本可多讓約 0.6 元盈餘進核心），約 +9～10 個百分點</w:t>
            </w:r>
          </w:p>
        </w:tc>
        <w:tc>
          <w:tcPr>
            <w:tcW w:type="dxa" w:w="997"/>
          </w:tcPr>
          <w:p>
            <w:r>
              <w:rPr>
                <w:sz w:val="18"/>
              </w:rPr>
            </w:r>
            <w:r>
              <w:rPr>
                <w:sz w:val="18"/>
              </w:rPr>
              <w:t>139.5%／230.3%（含乘數約 143%）</w:t>
            </w:r>
          </w:p>
        </w:tc>
        <w:tc>
          <w:tcPr>
            <w:tcW w:type="dxa" w:w="997"/>
          </w:tcPr>
          <w:p>
            <w:r>
              <w:rPr>
                <w:sz w:val="18"/>
              </w:rPr>
            </w:r>
            <w:r>
              <w:rPr>
                <w:sz w:val="18"/>
              </w:rPr>
              <w:t>1.7 倍</w:t>
            </w:r>
          </w:p>
        </w:tc>
        <w:tc>
          <w:tcPr>
            <w:tcW w:type="dxa" w:w="997"/>
          </w:tcPr>
          <w:p>
            <w:r>
              <w:rPr>
                <w:sz w:val="18"/>
              </w:rPr>
            </w:r>
            <w:r>
              <w:rPr>
                <w:sz w:val="18"/>
              </w:rPr>
              <w:t>0.35 倍</w:t>
            </w:r>
          </w:p>
        </w:tc>
      </w:tr>
      <w:tr>
        <w:tc>
          <w:tcPr>
            <w:tcW w:type="dxa" w:w="997"/>
          </w:tcPr>
          <w:p>
            <w:r>
              <w:rPr>
                <w:sz w:val="18"/>
              </w:rPr>
            </w:r>
            <w:r>
              <w:rPr>
                <w:sz w:val="18"/>
              </w:rPr>
              <w:t>中再（2026Q1）</w:t>
            </w:r>
          </w:p>
        </w:tc>
        <w:tc>
          <w:tcPr>
            <w:tcW w:type="dxa" w:w="997"/>
          </w:tcPr>
          <w:p>
            <w:r>
              <w:rPr>
                <w:sz w:val="18"/>
              </w:rPr>
            </w:r>
            <w:r>
              <w:rPr>
                <w:sz w:val="18"/>
              </w:rPr>
              <w:t>30</w:t>
            </w:r>
          </w:p>
        </w:tc>
        <w:tc>
          <w:tcPr>
            <w:tcW w:type="dxa" w:w="997"/>
          </w:tcPr>
          <w:p>
            <w:r>
              <w:rPr>
                <w:sz w:val="18"/>
              </w:rPr>
            </w:r>
            <w:r>
              <w:rPr>
                <w:sz w:val="18"/>
              </w:rPr>
              <w:t>未找到</w:t>
            </w:r>
          </w:p>
        </w:tc>
        <w:tc>
          <w:tcPr>
            <w:tcW w:type="dxa" w:w="997"/>
          </w:tcPr>
          <w:p>
            <w:r>
              <w:rPr>
                <w:sz w:val="18"/>
              </w:rPr>
            </w:r>
            <w:r>
              <w:rPr>
                <w:sz w:val="18"/>
              </w:rPr>
              <w:t>未找到</w:t>
            </w:r>
          </w:p>
        </w:tc>
        <w:tc>
          <w:tcPr>
            <w:tcW w:type="dxa" w:w="997"/>
          </w:tcPr>
          <w:p>
            <w:r>
              <w:rPr>
                <w:sz w:val="18"/>
              </w:rPr>
            </w:r>
            <w:r>
              <w:rPr>
                <w:sz w:val="18"/>
              </w:rPr>
              <w:t>—</w:t>
            </w:r>
          </w:p>
        </w:tc>
        <w:tc>
          <w:tcPr>
            <w:tcW w:type="dxa" w:w="997"/>
          </w:tcPr>
          <w:p>
            <w:r>
              <w:rPr>
                <w:sz w:val="18"/>
              </w:rPr>
            </w:r>
            <w:r>
              <w:rPr>
                <w:sz w:val="18"/>
              </w:rPr>
              <w:t>—</w:t>
            </w:r>
          </w:p>
        </w:tc>
        <w:tc>
          <w:tcPr>
            <w:tcW w:type="dxa" w:w="997"/>
          </w:tcPr>
          <w:p>
            <w:r>
              <w:rPr>
                <w:sz w:val="18"/>
              </w:rPr>
            </w:r>
            <w:r>
              <w:rPr>
                <w:sz w:val="18"/>
              </w:rPr>
              <w:t>約回補 Q1 流失溢額的 20%</w:t>
            </w:r>
          </w:p>
        </w:tc>
        <w:tc>
          <w:tcPr>
            <w:tcW w:type="dxa" w:w="997"/>
          </w:tcPr>
          <w:p>
            <w:r>
              <w:rPr>
                <w:sz w:val="18"/>
              </w:rPr>
            </w:r>
            <w:r>
              <w:rPr>
                <w:sz w:val="18"/>
              </w:rPr>
              <w:t>—</w:t>
            </w:r>
          </w:p>
        </w:tc>
        <w:tc>
          <w:tcPr>
            <w:tcW w:type="dxa" w:w="997"/>
          </w:tcPr>
          <w:p>
            <w:r>
              <w:rPr>
                <w:sz w:val="18"/>
              </w:rPr>
            </w:r>
            <w:r>
              <w:rPr>
                <w:sz w:val="18"/>
              </w:rPr>
              <w:t>0.9 倍</w:t>
            </w:r>
          </w:p>
        </w:tc>
        <w:tc>
          <w:tcPr>
            <w:tcW w:type="dxa" w:w="997"/>
          </w:tcPr>
          <w:p>
            <w:r>
              <w:rPr>
                <w:sz w:val="18"/>
              </w:rPr>
            </w:r>
            <w:r>
              <w:rPr>
                <w:sz w:val="18"/>
              </w:rPr>
              <w:t>—</w:t>
            </w:r>
          </w:p>
        </w:tc>
      </w:tr>
      <w:tr>
        <w:tc>
          <w:tcPr>
            <w:tcW w:type="dxa" w:w="997"/>
          </w:tcPr>
          <w:p>
            <w:r>
              <w:rPr>
                <w:sz w:val="18"/>
              </w:rPr>
            </w:r>
            <w:r>
              <w:rPr>
                <w:sz w:val="18"/>
              </w:rPr>
              <w:t>中國信保</w:t>
            </w:r>
          </w:p>
        </w:tc>
        <w:tc>
          <w:tcPr>
            <w:tcW w:type="dxa" w:w="997"/>
          </w:tcPr>
          <w:p>
            <w:r>
              <w:rPr>
                <w:sz w:val="18"/>
              </w:rPr>
            </w:r>
            <w:r>
              <w:rPr>
                <w:sz w:val="18"/>
              </w:rPr>
              <w:t>100</w:t>
            </w:r>
          </w:p>
        </w:tc>
        <w:tc>
          <w:tcPr>
            <w:tcW w:type="dxa" w:w="997"/>
          </w:tcPr>
          <w:p>
            <w:r>
              <w:rPr>
                <w:sz w:val="18"/>
              </w:rPr>
            </w:r>
            <w:r>
              <w:rPr>
                <w:sz w:val="18"/>
              </w:rPr>
              <w:t>未找到</w:t>
            </w:r>
          </w:p>
        </w:tc>
        <w:tc>
          <w:tcPr>
            <w:tcW w:type="dxa" w:w="997"/>
          </w:tcPr>
          <w:p>
            <w:r>
              <w:rPr>
                <w:sz w:val="18"/>
              </w:rPr>
            </w:r>
            <w:r>
              <w:rPr>
                <w:sz w:val="18"/>
              </w:rPr>
              <w:t>未找到</w:t>
            </w:r>
          </w:p>
        </w:tc>
        <w:tc>
          <w:tcPr>
            <w:tcW w:type="dxa" w:w="997"/>
          </w:tcPr>
          <w:p>
            <w:r>
              <w:rPr>
                <w:sz w:val="18"/>
              </w:rPr>
            </w:r>
            <w:r>
              <w:rPr>
                <w:sz w:val="18"/>
              </w:rPr>
              <w:t>註冊資本的 21.7%</w:t>
            </w:r>
          </w:p>
        </w:tc>
        <w:tc>
          <w:tcPr>
            <w:tcW w:type="dxa" w:w="997"/>
          </w:tcPr>
          <w:p>
            <w:r>
              <w:rPr>
                <w:sz w:val="18"/>
              </w:rPr>
            </w:r>
            <w:r>
              <w:rPr>
                <w:sz w:val="18"/>
              </w:rPr>
              <w:t>—</w:t>
            </w:r>
          </w:p>
        </w:tc>
        <w:tc>
          <w:tcPr>
            <w:tcW w:type="dxa" w:w="997"/>
          </w:tcPr>
          <w:p>
            <w:r>
              <w:rPr>
                <w:sz w:val="18"/>
              </w:rPr>
            </w:r>
            <w:r>
              <w:rPr>
                <w:sz w:val="18"/>
              </w:rPr>
              <w:t>—</w:t>
            </w:r>
          </w:p>
        </w:tc>
        <w:tc>
          <w:tcPr>
            <w:tcW w:type="dxa" w:w="997"/>
          </w:tcPr>
          <w:p>
            <w:r>
              <w:rPr>
                <w:sz w:val="18"/>
              </w:rPr>
            </w:r>
            <w:r>
              <w:rPr>
                <w:sz w:val="18"/>
              </w:rPr>
              <w:t>—</w:t>
            </w:r>
          </w:p>
        </w:tc>
        <w:tc>
          <w:tcPr>
            <w:tcW w:type="dxa" w:w="997"/>
          </w:tcPr>
          <w:p>
            <w:r>
              <w:rPr>
                <w:sz w:val="18"/>
              </w:rPr>
            </w:r>
            <w:r>
              <w:rPr>
                <w:sz w:val="18"/>
              </w:rPr>
              <w:t>不分紅</w:t>
            </w:r>
          </w:p>
        </w:tc>
        <w:tc>
          <w:tcPr>
            <w:tcW w:type="dxa" w:w="997"/>
          </w:tcPr>
          <w:p>
            <w:r>
              <w:rPr>
                <w:sz w:val="18"/>
              </w:rPr>
            </w:r>
            <w:r>
              <w:rPr>
                <w:sz w:val="18"/>
              </w:rPr>
              <w:t>—</w:t>
            </w:r>
          </w:p>
        </w:tc>
      </w:tr>
    </w:tbl>
    <w:p/>
    <w:p>
      <w:r>
        <w:rPr>
          <w:b/>
        </w:rPr>
        <w:t>四個尺度看 700 億有多大：</w:t>
      </w:r>
    </w:p>
    <w:p>
      <w:pPr>
        <w:pStyle w:val="ListBullet"/>
      </w:pPr>
      <w:r>
        <w:t>對比行業資本：2022Q1 全行業實際資本 4.9 萬億、最低資本 2.2 萬億；700 億約為行業最低資本的 3%，若平均攤到全行業只能拉高綜合充足率約 3 個百分點。</w:t>
      </w:r>
    </w:p>
    <w:p>
      <w:pPr>
        <w:pStyle w:val="ListBullet"/>
      </w:pPr>
      <w:r>
        <w:t>對比分紅：五家 A 股上市險企 2025 年擬現金分紅合計 1,024 億，首次破千億。注資金額不到一年分紅。</w:t>
      </w:r>
    </w:p>
    <w:p>
      <w:pPr>
        <w:pStyle w:val="ListBullet"/>
      </w:pPr>
      <w:r>
        <w:t>對比發債：2024 年險企資本補充債加永續債發行 956～1,175 億（口徑不一），2025 年僅永續債就 558 億。注資只相當於行業一年左右的發債量。</w:t>
      </w:r>
    </w:p>
    <w:p>
      <w:pPr>
        <w:pStyle w:val="ListBullet"/>
      </w:pPr>
      <w:r>
        <w:t>對比波動：國壽股份核心充足率 18 個月內從 153% 掉到 129% 再回到 157%，單向擺幅 25 個百分點；中再一個季度掉 102 個百分點；太平集團 2025 年一年掉 32 個百分點，70 億只等於當年核心溢額流失（237 億）的三成。5～7 個百分點的注資，在這種波動面前是「一口氣」。</w:t>
      </w:r>
    </w:p>
    <w:p>
      <w:pPr>
        <w:pStyle w:val="ListBullet"/>
      </w:pPr>
      <w:r>
        <w:t>太平人壽的原文還給了一個更直接的尺度：公司自估 2026Q2 核心充足率 112.25%、核心溢額 146 億。70 億若全額下沉並計入乘數，大約把它拉回 122%；也就是說，注資剛好抵掉一季的自估流失，沒有多餘。</w:t>
      </w:r>
    </w:p>
    <w:p>
      <w:r>
        <w:rPr>
          <w:b/>
        </w:rPr>
        <w:t>夠撐幾年？</w:t>
      </w:r>
      <w:r>
        <w:t xml:space="preserve"> 人身險行業綜合充足率從 2023 年末 186.7% 降到 2026 年二季度 169.7%，兩年半掉 17 個百分點，平均每年 6～7 個百分點。五家獲得的 5～7 個百分點，</w:t>
      </w:r>
      <w:r>
        <w:rPr>
          <w:b/>
        </w:rPr>
        <w:t>大約等於一年的行業平均自然消耗</w:t>
      </w:r>
      <w:r>
        <w:t>。若 2026 年下半年股市回落或利率再降 30 個基點，這口氣可能半年就用完。</w:t>
      </w:r>
    </w:p>
    <w:p>
      <w:r>
        <w:rPr>
          <w:b/>
        </w:rPr>
        <w:t>2 月傳聞與 9 月落地的落差</w:t>
      </w:r>
      <w:r>
        <w:t>：中泰證券 2 月測算 2,000 億可讓三家集體提升約 23 個百分點（占三家 2026 年末淨資產 16.5%）；同一位分析師 9 月對 700 億的說法是「占五家 2025 年末淨資產約 5.6%，攤薄效果相對有限」。金額縮到三分之一，效果也縮到三分之一。</w:t>
      </w:r>
    </w:p>
    <w:p>
      <w:pPr>
        <w:pStyle w:val="Heading3"/>
      </w:pPr>
      <w:r>
        <w:t>五、結論：這是一次「掛號」，不是「手術」</w:t>
      </w:r>
    </w:p>
    <w:p>
      <w:pPr>
        <w:pStyle w:val="ListBullet"/>
      </w:pPr>
      <w:r>
        <w:t>五家沒有一家瀕臨監管線，官方「未雨綢繆」的說法在數字上站得住。</w:t>
      </w:r>
    </w:p>
    <w:p>
      <w:pPr>
        <w:pStyle w:val="ListBullet"/>
      </w:pPr>
      <w:r>
        <w:t>但中再與太平 2026 年上半年的斜率顯示壓力是真的，注資時點與其惡化同步，不是純信號。太平集團原文（2025 年核心溢額流失 237 億）與太平人壽原文（自估 2026Q2 核心 112%）是本報告唯一兩份一手文件，都指向同一結論。</w:t>
      </w:r>
    </w:p>
    <w:p>
      <w:pPr>
        <w:pStyle w:val="ListBullet"/>
      </w:pPr>
      <w:r>
        <w:t>700 億的實際補充力道約等於一年的自然消耗；真正在補資本的是險企自己：2024～2025 年發債超過 1,500 億、國壽 2025 年一年淨利 1,541 億。財政注資的意義在於把保險納入「國家資本安全網」的制度框架，並替後面的「償二代三期／新準則」與「長錢入市」預留空間，而不是金額本身。</w:t>
      </w:r>
    </w:p>
    <w:p>
      <w:pPr>
        <w:pStyle w:val="ListBullet"/>
      </w:pPr>
      <w:r>
        <w:t>觀察指標：中再 2026Q2／Q3 充足率是否止跌；太平人壽 2026Q2 實際數字是否如自估跌到 112%；國壽集團合併口徑充足率是否揭露；人保定增最終價格（發行股數上限為發行前總股本 10%，市場推估約 7.41 元、20.2 億股）；新華與中郵人壽會不會成為下一批（透過匯金或郵政集團）注資對象。</w:t>
      </w:r>
    </w:p>
    <w:p>
      <w:pPr>
        <w:pStyle w:val="Heading2"/>
      </w:pPr>
      <w:r>
        <w:t>第二章　主要險企償付能力 2019～2026Q2 與不達標公司追蹤</w:t>
      </w:r>
    </w:p>
    <w:p>
      <w:r>
        <w:t xml:space="preserve">（完整數據見 </w:t>
      </w:r>
      <w:r>
        <w:rPr>
          <w:rFonts w:ascii="Consolas" w:hAnsi="Consolas"/>
        </w:rPr>
        <w:t>solvency_table.xlsx</w:t>
      </w:r>
      <w:r>
        <w:t xml:space="preserve"> 工作表 1、2。）</w:t>
      </w:r>
    </w:p>
    <w:p>
      <w:pPr>
        <w:pStyle w:val="Heading3"/>
      </w:pPr>
      <w:r>
        <w:t>一、行業曲線：六年掉了 65 個百分點</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8"/>
              </w:rPr>
            </w:r>
            <w:r>
              <w:rPr>
                <w:b/>
                <w:sz w:val="18"/>
              </w:rPr>
              <w:t>期別</w:t>
            </w:r>
          </w:p>
        </w:tc>
        <w:tc>
          <w:tcPr>
            <w:tcW w:type="dxa" w:w="1662"/>
          </w:tcPr>
          <w:p>
            <w:r>
              <w:rPr>
                <w:b/>
                <w:sz w:val="18"/>
              </w:rPr>
            </w:r>
            <w:r>
              <w:rPr>
                <w:b/>
                <w:sz w:val="18"/>
              </w:rPr>
              <w:t>全行業綜合</w:t>
            </w:r>
          </w:p>
        </w:tc>
        <w:tc>
          <w:tcPr>
            <w:tcW w:type="dxa" w:w="1662"/>
          </w:tcPr>
          <w:p>
            <w:r>
              <w:rPr>
                <w:b/>
                <w:sz w:val="18"/>
              </w:rPr>
            </w:r>
            <w:r>
              <w:rPr>
                <w:b/>
                <w:sz w:val="18"/>
              </w:rPr>
              <w:t>全行業核心</w:t>
            </w:r>
          </w:p>
        </w:tc>
        <w:tc>
          <w:tcPr>
            <w:tcW w:type="dxa" w:w="1662"/>
          </w:tcPr>
          <w:p>
            <w:r>
              <w:rPr>
                <w:b/>
                <w:sz w:val="18"/>
              </w:rPr>
            </w:r>
            <w:r>
              <w:rPr>
                <w:b/>
                <w:sz w:val="18"/>
              </w:rPr>
              <w:t>人身險綜合／核心</w:t>
            </w:r>
          </w:p>
        </w:tc>
        <w:tc>
          <w:tcPr>
            <w:tcW w:type="dxa" w:w="1662"/>
          </w:tcPr>
          <w:p>
            <w:r>
              <w:rPr>
                <w:b/>
                <w:sz w:val="18"/>
              </w:rPr>
            </w:r>
            <w:r>
              <w:rPr>
                <w:b/>
                <w:sz w:val="18"/>
              </w:rPr>
              <w:t>財產險綜合／核心</w:t>
            </w:r>
          </w:p>
        </w:tc>
        <w:tc>
          <w:tcPr>
            <w:tcW w:type="dxa" w:w="1662"/>
          </w:tcPr>
          <w:p>
            <w:r>
              <w:rPr>
                <w:b/>
                <w:sz w:val="18"/>
              </w:rPr>
            </w:r>
            <w:r>
              <w:rPr>
                <w:b/>
                <w:sz w:val="18"/>
              </w:rPr>
              <w:t>再保險綜合／核心</w:t>
            </w:r>
          </w:p>
        </w:tc>
      </w:tr>
      <w:tr>
        <w:tc>
          <w:tcPr>
            <w:tcW w:type="dxa" w:w="1662"/>
          </w:tcPr>
          <w:p>
            <w:r>
              <w:rPr>
                <w:sz w:val="18"/>
              </w:rPr>
            </w:r>
            <w:r>
              <w:rPr>
                <w:sz w:val="18"/>
              </w:rPr>
              <w:t>2020Q4</w:t>
            </w:r>
          </w:p>
        </w:tc>
        <w:tc>
          <w:tcPr>
            <w:tcW w:type="dxa" w:w="1662"/>
          </w:tcPr>
          <w:p>
            <w:r>
              <w:rPr>
                <w:sz w:val="18"/>
              </w:rPr>
            </w:r>
            <w:r>
              <w:rPr>
                <w:sz w:val="18"/>
              </w:rPr>
              <w:t>246.3%</w:t>
            </w:r>
          </w:p>
        </w:tc>
        <w:tc>
          <w:tcPr>
            <w:tcW w:type="dxa" w:w="1662"/>
          </w:tcPr>
          <w:p>
            <w:r>
              <w:rPr>
                <w:sz w:val="18"/>
              </w:rPr>
            </w:r>
            <w:r>
              <w:rPr>
                <w:sz w:val="18"/>
              </w:rPr>
              <w:t>234.3%</w:t>
            </w:r>
          </w:p>
        </w:tc>
        <w:tc>
          <w:tcPr>
            <w:tcW w:type="dxa" w:w="1662"/>
          </w:tcPr>
          <w:p>
            <w:r>
              <w:rPr>
                <w:sz w:val="18"/>
              </w:rPr>
            </w:r>
            <w:r>
              <w:rPr>
                <w:sz w:val="18"/>
              </w:rPr>
              <w:t>239.6%／—</w:t>
            </w:r>
          </w:p>
        </w:tc>
        <w:tc>
          <w:tcPr>
            <w:tcW w:type="dxa" w:w="1662"/>
          </w:tcPr>
          <w:p>
            <w:r>
              <w:rPr>
                <w:sz w:val="18"/>
              </w:rPr>
            </w:r>
            <w:r>
              <w:rPr>
                <w:sz w:val="18"/>
              </w:rPr>
              <w:t>277.9%／—</w:t>
            </w:r>
          </w:p>
        </w:tc>
        <w:tc>
          <w:tcPr>
            <w:tcW w:type="dxa" w:w="1662"/>
          </w:tcPr>
          <w:p>
            <w:r>
              <w:rPr>
                <w:sz w:val="18"/>
              </w:rPr>
            </w:r>
            <w:r>
              <w:rPr>
                <w:sz w:val="18"/>
              </w:rPr>
              <w:t>319.3%／—</w:t>
            </w:r>
          </w:p>
        </w:tc>
      </w:tr>
      <w:tr>
        <w:tc>
          <w:tcPr>
            <w:tcW w:type="dxa" w:w="1662"/>
          </w:tcPr>
          <w:p>
            <w:r>
              <w:rPr>
                <w:sz w:val="18"/>
              </w:rPr>
            </w:r>
            <w:r>
              <w:rPr>
                <w:sz w:val="18"/>
              </w:rPr>
              <w:t>2021Q4</w:t>
            </w:r>
          </w:p>
        </w:tc>
        <w:tc>
          <w:tcPr>
            <w:tcW w:type="dxa" w:w="1662"/>
          </w:tcPr>
          <w:p>
            <w:r>
              <w:rPr>
                <w:sz w:val="18"/>
              </w:rPr>
            </w:r>
            <w:r>
              <w:rPr>
                <w:sz w:val="18"/>
              </w:rPr>
              <w:t>232.1%</w:t>
            </w:r>
          </w:p>
        </w:tc>
        <w:tc>
          <w:tcPr>
            <w:tcW w:type="dxa" w:w="1662"/>
          </w:tcPr>
          <w:p>
            <w:r>
              <w:rPr>
                <w:sz w:val="18"/>
              </w:rPr>
            </w:r>
            <w:r>
              <w:rPr>
                <w:sz w:val="18"/>
              </w:rPr>
              <w:t>219.7%</w:t>
            </w:r>
          </w:p>
        </w:tc>
        <w:tc>
          <w:tcPr>
            <w:tcW w:type="dxa" w:w="1662"/>
          </w:tcPr>
          <w:p>
            <w:r>
              <w:rPr>
                <w:sz w:val="18"/>
              </w:rPr>
            </w:r>
            <w:r>
              <w:rPr>
                <w:sz w:val="18"/>
              </w:rPr>
              <w:t>222.5%／—</w:t>
            </w:r>
          </w:p>
        </w:tc>
        <w:tc>
          <w:tcPr>
            <w:tcW w:type="dxa" w:w="1662"/>
          </w:tcPr>
          <w:p>
            <w:r>
              <w:rPr>
                <w:sz w:val="18"/>
              </w:rPr>
            </w:r>
            <w:r>
              <w:rPr>
                <w:sz w:val="18"/>
              </w:rPr>
              <w:t>283.7%／—</w:t>
            </w:r>
          </w:p>
        </w:tc>
        <w:tc>
          <w:tcPr>
            <w:tcW w:type="dxa" w:w="1662"/>
          </w:tcPr>
          <w:p>
            <w:r>
              <w:rPr>
                <w:sz w:val="18"/>
              </w:rPr>
            </w:r>
            <w:r>
              <w:rPr>
                <w:sz w:val="18"/>
              </w:rPr>
              <w:t>311.2%／—</w:t>
            </w:r>
          </w:p>
        </w:tc>
      </w:tr>
      <w:tr>
        <w:tc>
          <w:tcPr>
            <w:tcW w:type="dxa" w:w="1662"/>
          </w:tcPr>
          <w:p>
            <w:r>
              <w:rPr>
                <w:sz w:val="18"/>
              </w:rPr>
            </w:r>
            <w:r>
              <w:rPr>
                <w:b/>
                <w:sz w:val="18"/>
              </w:rPr>
              <w:t>2022Q1（償二代二期上路）</w:t>
            </w:r>
          </w:p>
        </w:tc>
        <w:tc>
          <w:tcPr>
            <w:tcW w:type="dxa" w:w="1662"/>
          </w:tcPr>
          <w:p>
            <w:r>
              <w:rPr>
                <w:sz w:val="18"/>
              </w:rPr>
            </w:r>
            <w:r>
              <w:rPr>
                <w:sz w:val="18"/>
              </w:rPr>
              <w:t>224.2%</w:t>
            </w:r>
          </w:p>
        </w:tc>
        <w:tc>
          <w:tcPr>
            <w:tcW w:type="dxa" w:w="1662"/>
          </w:tcPr>
          <w:p>
            <w:r>
              <w:rPr>
                <w:sz w:val="18"/>
              </w:rPr>
            </w:r>
            <w:r>
              <w:rPr>
                <w:b/>
                <w:sz w:val="18"/>
              </w:rPr>
              <w:t>150.0%</w:t>
            </w:r>
          </w:p>
        </w:tc>
        <w:tc>
          <w:tcPr>
            <w:tcW w:type="dxa" w:w="1662"/>
          </w:tcPr>
          <w:p>
            <w:r>
              <w:rPr>
                <w:sz w:val="18"/>
              </w:rPr>
            </w:r>
            <w:r>
              <w:rPr>
                <w:sz w:val="18"/>
              </w:rPr>
              <w:t>—</w:t>
            </w:r>
          </w:p>
        </w:tc>
        <w:tc>
          <w:tcPr>
            <w:tcW w:type="dxa" w:w="1662"/>
          </w:tcPr>
          <w:p>
            <w:r>
              <w:rPr>
                <w:sz w:val="18"/>
              </w:rPr>
            </w:r>
            <w:r>
              <w:rPr>
                <w:sz w:val="18"/>
              </w:rPr>
              <w:t>—</w:t>
            </w:r>
          </w:p>
        </w:tc>
        <w:tc>
          <w:tcPr>
            <w:tcW w:type="dxa" w:w="1662"/>
          </w:tcPr>
          <w:p>
            <w:r>
              <w:rPr>
                <w:sz w:val="18"/>
              </w:rPr>
            </w:r>
            <w:r>
              <w:rPr>
                <w:sz w:val="18"/>
              </w:rPr>
              <w:t>—</w:t>
            </w:r>
          </w:p>
        </w:tc>
      </w:tr>
      <w:tr>
        <w:tc>
          <w:tcPr>
            <w:tcW w:type="dxa" w:w="1662"/>
          </w:tcPr>
          <w:p>
            <w:r>
              <w:rPr>
                <w:sz w:val="18"/>
              </w:rPr>
            </w:r>
            <w:r>
              <w:rPr>
                <w:sz w:val="18"/>
              </w:rPr>
              <w:t>2022Q4</w:t>
            </w:r>
          </w:p>
        </w:tc>
        <w:tc>
          <w:tcPr>
            <w:tcW w:type="dxa" w:w="1662"/>
          </w:tcPr>
          <w:p>
            <w:r>
              <w:rPr>
                <w:sz w:val="18"/>
              </w:rPr>
            </w:r>
            <w:r>
              <w:rPr>
                <w:sz w:val="18"/>
              </w:rPr>
              <w:t>196.0%</w:t>
            </w:r>
          </w:p>
        </w:tc>
        <w:tc>
          <w:tcPr>
            <w:tcW w:type="dxa" w:w="1662"/>
          </w:tcPr>
          <w:p>
            <w:r>
              <w:rPr>
                <w:sz w:val="18"/>
              </w:rPr>
            </w:r>
            <w:r>
              <w:rPr>
                <w:sz w:val="18"/>
              </w:rPr>
              <w:t>128.4%</w:t>
            </w:r>
          </w:p>
        </w:tc>
        <w:tc>
          <w:tcPr>
            <w:tcW w:type="dxa" w:w="1662"/>
          </w:tcPr>
          <w:p>
            <w:r>
              <w:rPr>
                <w:sz w:val="18"/>
              </w:rPr>
            </w:r>
            <w:r>
              <w:rPr>
                <w:sz w:val="18"/>
              </w:rPr>
              <w:t>186%／—</w:t>
            </w:r>
          </w:p>
        </w:tc>
        <w:tc>
          <w:tcPr>
            <w:tcW w:type="dxa" w:w="1662"/>
          </w:tcPr>
          <w:p>
            <w:r>
              <w:rPr>
                <w:sz w:val="18"/>
              </w:rPr>
            </w:r>
            <w:r>
              <w:rPr>
                <w:sz w:val="18"/>
              </w:rPr>
              <w:t>238%／—</w:t>
            </w:r>
          </w:p>
        </w:tc>
        <w:tc>
          <w:tcPr>
            <w:tcW w:type="dxa" w:w="1662"/>
          </w:tcPr>
          <w:p>
            <w:r>
              <w:rPr>
                <w:sz w:val="18"/>
              </w:rPr>
            </w:r>
            <w:r>
              <w:rPr>
                <w:sz w:val="18"/>
              </w:rPr>
              <w:t>300%／—</w:t>
            </w:r>
          </w:p>
        </w:tc>
      </w:tr>
      <w:tr>
        <w:tc>
          <w:tcPr>
            <w:tcW w:type="dxa" w:w="1662"/>
          </w:tcPr>
          <w:p>
            <w:r>
              <w:rPr>
                <w:sz w:val="18"/>
              </w:rPr>
            </w:r>
            <w:r>
              <w:rPr>
                <w:sz w:val="18"/>
              </w:rPr>
              <w:t>2023Q4</w:t>
            </w:r>
          </w:p>
        </w:tc>
        <w:tc>
          <w:tcPr>
            <w:tcW w:type="dxa" w:w="1662"/>
          </w:tcPr>
          <w:p>
            <w:r>
              <w:rPr>
                <w:sz w:val="18"/>
              </w:rPr>
            </w:r>
            <w:r>
              <w:rPr>
                <w:sz w:val="18"/>
              </w:rPr>
              <w:t>197.1%</w:t>
            </w:r>
          </w:p>
        </w:tc>
        <w:tc>
          <w:tcPr>
            <w:tcW w:type="dxa" w:w="1662"/>
          </w:tcPr>
          <w:p>
            <w:r>
              <w:rPr>
                <w:sz w:val="18"/>
              </w:rPr>
            </w:r>
            <w:r>
              <w:rPr>
                <w:sz w:val="18"/>
              </w:rPr>
              <w:t>128.2%</w:t>
            </w:r>
          </w:p>
        </w:tc>
        <w:tc>
          <w:tcPr>
            <w:tcW w:type="dxa" w:w="1662"/>
          </w:tcPr>
          <w:p>
            <w:r>
              <w:rPr>
                <w:sz w:val="18"/>
              </w:rPr>
            </w:r>
            <w:r>
              <w:rPr>
                <w:sz w:val="18"/>
              </w:rPr>
              <w:t>186.7%／110.5%</w:t>
            </w:r>
          </w:p>
        </w:tc>
        <w:tc>
          <w:tcPr>
            <w:tcW w:type="dxa" w:w="1662"/>
          </w:tcPr>
          <w:p>
            <w:r>
              <w:rPr>
                <w:sz w:val="18"/>
              </w:rPr>
            </w:r>
            <w:r>
              <w:rPr>
                <w:sz w:val="18"/>
              </w:rPr>
              <w:t>238.2%／206.2%</w:t>
            </w:r>
          </w:p>
        </w:tc>
        <w:tc>
          <w:tcPr>
            <w:tcW w:type="dxa" w:w="1662"/>
          </w:tcPr>
          <w:p>
            <w:r>
              <w:rPr>
                <w:sz w:val="18"/>
              </w:rPr>
            </w:r>
            <w:r>
              <w:rPr>
                <w:sz w:val="18"/>
              </w:rPr>
              <w:t>285.3%／245.6%</w:t>
            </w:r>
          </w:p>
        </w:tc>
      </w:tr>
      <w:tr>
        <w:tc>
          <w:tcPr>
            <w:tcW w:type="dxa" w:w="1662"/>
          </w:tcPr>
          <w:p>
            <w:r>
              <w:rPr>
                <w:sz w:val="18"/>
              </w:rPr>
            </w:r>
            <w:r>
              <w:rPr>
                <w:sz w:val="18"/>
              </w:rPr>
              <w:t>2024Q4</w:t>
            </w:r>
          </w:p>
        </w:tc>
        <w:tc>
          <w:tcPr>
            <w:tcW w:type="dxa" w:w="1662"/>
          </w:tcPr>
          <w:p>
            <w:r>
              <w:rPr>
                <w:sz w:val="18"/>
              </w:rPr>
            </w:r>
            <w:r>
              <w:rPr>
                <w:sz w:val="18"/>
              </w:rPr>
              <w:t>199.4%</w:t>
            </w:r>
          </w:p>
        </w:tc>
        <w:tc>
          <w:tcPr>
            <w:tcW w:type="dxa" w:w="1662"/>
          </w:tcPr>
          <w:p>
            <w:r>
              <w:rPr>
                <w:sz w:val="18"/>
              </w:rPr>
            </w:r>
            <w:r>
              <w:rPr>
                <w:sz w:val="18"/>
              </w:rPr>
              <w:t>139.1%</w:t>
            </w:r>
          </w:p>
        </w:tc>
        <w:tc>
          <w:tcPr>
            <w:tcW w:type="dxa" w:w="1662"/>
          </w:tcPr>
          <w:p>
            <w:r>
              <w:rPr>
                <w:sz w:val="18"/>
              </w:rPr>
            </w:r>
            <w:r>
              <w:rPr>
                <w:sz w:val="18"/>
              </w:rPr>
              <w:t>190.5%／123.8%</w:t>
            </w:r>
          </w:p>
        </w:tc>
        <w:tc>
          <w:tcPr>
            <w:tcW w:type="dxa" w:w="1662"/>
          </w:tcPr>
          <w:p>
            <w:r>
              <w:rPr>
                <w:sz w:val="18"/>
              </w:rPr>
            </w:r>
            <w:r>
              <w:rPr>
                <w:sz w:val="18"/>
              </w:rPr>
              <w:t>238.5%／209.2%</w:t>
            </w:r>
          </w:p>
        </w:tc>
        <w:tc>
          <w:tcPr>
            <w:tcW w:type="dxa" w:w="1662"/>
          </w:tcPr>
          <w:p>
            <w:r>
              <w:rPr>
                <w:sz w:val="18"/>
              </w:rPr>
            </w:r>
            <w:r>
              <w:rPr>
                <w:sz w:val="18"/>
              </w:rPr>
              <w:t>254.2%／221.2%</w:t>
            </w:r>
          </w:p>
        </w:tc>
      </w:tr>
      <w:tr>
        <w:tc>
          <w:tcPr>
            <w:tcW w:type="dxa" w:w="1662"/>
          </w:tcPr>
          <w:p>
            <w:r>
              <w:rPr>
                <w:sz w:val="18"/>
              </w:rPr>
            </w:r>
            <w:r>
              <w:rPr>
                <w:sz w:val="18"/>
              </w:rPr>
              <w:t>2025Q1</w:t>
            </w:r>
          </w:p>
        </w:tc>
        <w:tc>
          <w:tcPr>
            <w:tcW w:type="dxa" w:w="1662"/>
          </w:tcPr>
          <w:p>
            <w:r>
              <w:rPr>
                <w:sz w:val="18"/>
              </w:rPr>
            </w:r>
            <w:r>
              <w:rPr>
                <w:sz w:val="18"/>
              </w:rPr>
              <w:t>204.5%</w:t>
            </w:r>
          </w:p>
        </w:tc>
        <w:tc>
          <w:tcPr>
            <w:tcW w:type="dxa" w:w="1662"/>
          </w:tcPr>
          <w:p>
            <w:r>
              <w:rPr>
                <w:sz w:val="18"/>
              </w:rPr>
            </w:r>
            <w:r>
              <w:rPr>
                <w:sz w:val="18"/>
              </w:rPr>
              <w:t>146.5%</w:t>
            </w:r>
          </w:p>
        </w:tc>
        <w:tc>
          <w:tcPr>
            <w:tcW w:type="dxa" w:w="1662"/>
          </w:tcPr>
          <w:p>
            <w:r>
              <w:rPr>
                <w:sz w:val="18"/>
              </w:rPr>
            </w:r>
            <w:r>
              <w:rPr>
                <w:sz w:val="18"/>
              </w:rPr>
              <w:t>196.6%／132.8%</w:t>
            </w:r>
          </w:p>
        </w:tc>
        <w:tc>
          <w:tcPr>
            <w:tcW w:type="dxa" w:w="1662"/>
          </w:tcPr>
          <w:p>
            <w:r>
              <w:rPr>
                <w:sz w:val="18"/>
              </w:rPr>
            </w:r>
            <w:r>
              <w:rPr>
                <w:sz w:val="18"/>
              </w:rPr>
              <w:t>239.3%／209.5%</w:t>
            </w:r>
          </w:p>
        </w:tc>
        <w:tc>
          <w:tcPr>
            <w:tcW w:type="dxa" w:w="1662"/>
          </w:tcPr>
          <w:p>
            <w:r>
              <w:rPr>
                <w:sz w:val="18"/>
              </w:rPr>
            </w:r>
            <w:r>
              <w:rPr>
                <w:sz w:val="18"/>
              </w:rPr>
              <w:t>255.0%／221.6%</w:t>
            </w:r>
          </w:p>
        </w:tc>
      </w:tr>
      <w:tr>
        <w:tc>
          <w:tcPr>
            <w:tcW w:type="dxa" w:w="1662"/>
          </w:tcPr>
          <w:p>
            <w:r>
              <w:rPr>
                <w:sz w:val="18"/>
              </w:rPr>
            </w:r>
            <w:r>
              <w:rPr>
                <w:sz w:val="18"/>
              </w:rPr>
              <w:t>2025Q3</w:t>
            </w:r>
          </w:p>
        </w:tc>
        <w:tc>
          <w:tcPr>
            <w:tcW w:type="dxa" w:w="1662"/>
          </w:tcPr>
          <w:p>
            <w:r>
              <w:rPr>
                <w:sz w:val="18"/>
              </w:rPr>
            </w:r>
            <w:r>
              <w:rPr>
                <w:sz w:val="18"/>
              </w:rPr>
              <w:t>186.3%</w:t>
            </w:r>
          </w:p>
        </w:tc>
        <w:tc>
          <w:tcPr>
            <w:tcW w:type="dxa" w:w="1662"/>
          </w:tcPr>
          <w:p>
            <w:r>
              <w:rPr>
                <w:sz w:val="18"/>
              </w:rPr>
            </w:r>
            <w:r>
              <w:rPr>
                <w:sz w:val="18"/>
              </w:rPr>
              <w:t>134.3%</w:t>
            </w:r>
          </w:p>
        </w:tc>
        <w:tc>
          <w:tcPr>
            <w:tcW w:type="dxa" w:w="1662"/>
          </w:tcPr>
          <w:p>
            <w:r>
              <w:rPr>
                <w:sz w:val="18"/>
              </w:rPr>
            </w:r>
            <w:r>
              <w:rPr>
                <w:sz w:val="18"/>
              </w:rPr>
              <w:t>175.5%／118.9%</w:t>
            </w:r>
          </w:p>
        </w:tc>
        <w:tc>
          <w:tcPr>
            <w:tcW w:type="dxa" w:w="1662"/>
          </w:tcPr>
          <w:p>
            <w:r>
              <w:rPr>
                <w:sz w:val="18"/>
              </w:rPr>
            </w:r>
            <w:r>
              <w:rPr>
                <w:sz w:val="18"/>
              </w:rPr>
              <w:t>240.8%／212.9%</w:t>
            </w:r>
          </w:p>
        </w:tc>
        <w:tc>
          <w:tcPr>
            <w:tcW w:type="dxa" w:w="1662"/>
          </w:tcPr>
          <w:p>
            <w:r>
              <w:rPr>
                <w:sz w:val="18"/>
              </w:rPr>
            </w:r>
            <w:r>
              <w:rPr>
                <w:sz w:val="18"/>
              </w:rPr>
              <w:t>246.2%／216.7%</w:t>
            </w:r>
          </w:p>
        </w:tc>
      </w:tr>
      <w:tr>
        <w:tc>
          <w:tcPr>
            <w:tcW w:type="dxa" w:w="1662"/>
          </w:tcPr>
          <w:p>
            <w:r>
              <w:rPr>
                <w:sz w:val="18"/>
              </w:rPr>
            </w:r>
            <w:r>
              <w:rPr>
                <w:sz w:val="18"/>
              </w:rPr>
              <w:t>2025Q4（過渡期結束）</w:t>
            </w:r>
          </w:p>
        </w:tc>
        <w:tc>
          <w:tcPr>
            <w:tcW w:type="dxa" w:w="1662"/>
          </w:tcPr>
          <w:p>
            <w:r>
              <w:rPr>
                <w:sz w:val="18"/>
              </w:rPr>
            </w:r>
            <w:r>
              <w:rPr>
                <w:sz w:val="18"/>
              </w:rPr>
              <w:t>181.1%</w:t>
            </w:r>
          </w:p>
        </w:tc>
        <w:tc>
          <w:tcPr>
            <w:tcW w:type="dxa" w:w="1662"/>
          </w:tcPr>
          <w:p>
            <w:r>
              <w:rPr>
                <w:sz w:val="18"/>
              </w:rPr>
            </w:r>
            <w:r>
              <w:rPr>
                <w:sz w:val="18"/>
              </w:rPr>
              <w:t>130.4%</w:t>
            </w:r>
          </w:p>
        </w:tc>
        <w:tc>
          <w:tcPr>
            <w:tcW w:type="dxa" w:w="1662"/>
          </w:tcPr>
          <w:p>
            <w:r>
              <w:rPr>
                <w:sz w:val="18"/>
              </w:rPr>
            </w:r>
            <w:r>
              <w:rPr>
                <w:sz w:val="18"/>
              </w:rPr>
              <w:t>169.3%／115.0%</w:t>
            </w:r>
          </w:p>
        </w:tc>
        <w:tc>
          <w:tcPr>
            <w:tcW w:type="dxa" w:w="1662"/>
          </w:tcPr>
          <w:p>
            <w:r>
              <w:rPr>
                <w:sz w:val="18"/>
              </w:rPr>
            </w:r>
            <w:r>
              <w:rPr>
                <w:sz w:val="18"/>
              </w:rPr>
              <w:t>243.5%／212.7%</w:t>
            </w:r>
          </w:p>
        </w:tc>
        <w:tc>
          <w:tcPr>
            <w:tcW w:type="dxa" w:w="1662"/>
          </w:tcPr>
          <w:p>
            <w:r>
              <w:rPr>
                <w:sz w:val="18"/>
              </w:rPr>
            </w:r>
            <w:r>
              <w:rPr>
                <w:sz w:val="18"/>
              </w:rPr>
              <w:t>244.6%／212.5%</w:t>
            </w:r>
          </w:p>
        </w:tc>
      </w:tr>
      <w:tr>
        <w:tc>
          <w:tcPr>
            <w:tcW w:type="dxa" w:w="1662"/>
          </w:tcPr>
          <w:p>
            <w:r>
              <w:rPr>
                <w:sz w:val="18"/>
              </w:rPr>
            </w:r>
            <w:r>
              <w:rPr>
                <w:sz w:val="18"/>
              </w:rPr>
              <w:t>2026Q1</w:t>
            </w:r>
          </w:p>
        </w:tc>
        <w:tc>
          <w:tcPr>
            <w:tcW w:type="dxa" w:w="1662"/>
          </w:tcPr>
          <w:p>
            <w:r>
              <w:rPr>
                <w:sz w:val="18"/>
              </w:rPr>
            </w:r>
            <w:r>
              <w:rPr>
                <w:sz w:val="18"/>
              </w:rPr>
              <w:t>181.0%</w:t>
            </w:r>
          </w:p>
        </w:tc>
        <w:tc>
          <w:tcPr>
            <w:tcW w:type="dxa" w:w="1662"/>
          </w:tcPr>
          <w:p>
            <w:r>
              <w:rPr>
                <w:sz w:val="18"/>
              </w:rPr>
            </w:r>
            <w:r>
              <w:rPr>
                <w:sz w:val="18"/>
              </w:rPr>
              <w:t>131.9%</w:t>
            </w:r>
          </w:p>
        </w:tc>
        <w:tc>
          <w:tcPr>
            <w:tcW w:type="dxa" w:w="1662"/>
          </w:tcPr>
          <w:p>
            <w:r>
              <w:rPr>
                <w:sz w:val="18"/>
              </w:rPr>
            </w:r>
            <w:r>
              <w:rPr>
                <w:sz w:val="18"/>
              </w:rPr>
              <w:t>170.7%／118.1%</w:t>
            </w:r>
          </w:p>
        </w:tc>
        <w:tc>
          <w:tcPr>
            <w:tcW w:type="dxa" w:w="1662"/>
          </w:tcPr>
          <w:p>
            <w:r>
              <w:rPr>
                <w:sz w:val="18"/>
              </w:rPr>
            </w:r>
            <w:r>
              <w:rPr>
                <w:sz w:val="18"/>
              </w:rPr>
              <w:t>242.6%／210.6%</w:t>
            </w:r>
          </w:p>
        </w:tc>
        <w:tc>
          <w:tcPr>
            <w:tcW w:type="dxa" w:w="1662"/>
          </w:tcPr>
          <w:p>
            <w:r>
              <w:rPr>
                <w:sz w:val="18"/>
              </w:rPr>
            </w:r>
            <w:r>
              <w:rPr>
                <w:sz w:val="18"/>
              </w:rPr>
              <w:t>207.4%／179.8%</w:t>
            </w:r>
          </w:p>
        </w:tc>
      </w:tr>
      <w:tr>
        <w:tc>
          <w:tcPr>
            <w:tcW w:type="dxa" w:w="1662"/>
          </w:tcPr>
          <w:p>
            <w:r>
              <w:rPr>
                <w:sz w:val="18"/>
              </w:rPr>
            </w:r>
            <w:r>
              <w:rPr>
                <w:sz w:val="18"/>
              </w:rPr>
              <w:t>2026Q2</w:t>
            </w:r>
          </w:p>
        </w:tc>
        <w:tc>
          <w:tcPr>
            <w:tcW w:type="dxa" w:w="1662"/>
          </w:tcPr>
          <w:p>
            <w:r>
              <w:rPr>
                <w:sz w:val="18"/>
              </w:rPr>
            </w:r>
            <w:r>
              <w:rPr>
                <w:sz w:val="18"/>
              </w:rPr>
              <w:t>180.6%</w:t>
            </w:r>
          </w:p>
        </w:tc>
        <w:tc>
          <w:tcPr>
            <w:tcW w:type="dxa" w:w="1662"/>
          </w:tcPr>
          <w:p>
            <w:r>
              <w:rPr>
                <w:sz w:val="18"/>
              </w:rPr>
            </w:r>
            <w:r>
              <w:rPr>
                <w:sz w:val="18"/>
              </w:rPr>
              <w:t>133.5%</w:t>
            </w:r>
          </w:p>
        </w:tc>
        <w:tc>
          <w:tcPr>
            <w:tcW w:type="dxa" w:w="1662"/>
          </w:tcPr>
          <w:p>
            <w:r>
              <w:rPr>
                <w:sz w:val="18"/>
              </w:rPr>
            </w:r>
            <w:r>
              <w:rPr>
                <w:sz w:val="18"/>
              </w:rPr>
              <w:t>169.7%／119.6%</w:t>
            </w:r>
          </w:p>
        </w:tc>
        <w:tc>
          <w:tcPr>
            <w:tcW w:type="dxa" w:w="1662"/>
          </w:tcPr>
          <w:p>
            <w:r>
              <w:rPr>
                <w:sz w:val="18"/>
              </w:rPr>
            </w:r>
            <w:r>
              <w:rPr>
                <w:sz w:val="18"/>
              </w:rPr>
              <w:t>247.0%／214.3%</w:t>
            </w:r>
          </w:p>
        </w:tc>
        <w:tc>
          <w:tcPr>
            <w:tcW w:type="dxa" w:w="1662"/>
          </w:tcPr>
          <w:p>
            <w:r>
              <w:rPr>
                <w:sz w:val="18"/>
              </w:rPr>
            </w:r>
            <w:r>
              <w:rPr>
                <w:sz w:val="18"/>
              </w:rPr>
              <w:t>213.2%／188.2%</w:t>
            </w:r>
          </w:p>
        </w:tc>
      </w:tr>
    </w:tbl>
    <w:p/>
    <w:p>
      <w:r>
        <w:t>三個讀法：</w:t>
      </w:r>
    </w:p>
    <w:p>
      <w:pPr>
        <w:pStyle w:val="ListNumber"/>
      </w:pPr>
      <w:r>
        <w:rPr>
          <w:b/>
        </w:rPr>
        <w:t>兩次跳水都是規則造成的，不是經營造成的。</w:t>
      </w:r>
      <w:r>
        <w:t xml:space="preserve"> 2022Q1 核心單季少 70 個百分點，是償二代二期收緊核心資本認定（保單未來盈餘分級、長期股權投資因子上調）；2025Q3～Q4 再掉 18 個百分點，是過渡期優惠退場。</w:t>
      </w:r>
    </w:p>
    <w:p>
      <w:pPr>
        <w:pStyle w:val="ListNumber"/>
      </w:pPr>
      <w:r>
        <w:rPr>
          <w:b/>
        </w:rPr>
        <w:t>壽險是拖累，財險反而在變好。</w:t>
      </w:r>
      <w:r>
        <w:t xml:space="preserve"> 財產險綜合充足率六年只從 278% 降到 247%，核心還在 210% 以上；人身險核心長期在 110～135% 之間，離監管線只有兩三倍的距離，而且 2026 年二季度綜合只剩 169.7%。</w:t>
      </w:r>
    </w:p>
    <w:p>
      <w:pPr>
        <w:pStyle w:val="ListNumber"/>
      </w:pPr>
      <w:r>
        <w:rPr>
          <w:b/>
        </w:rPr>
        <w:t>再保險 2026 年突然失速</w:t>
      </w:r>
      <w:r>
        <w:t>，綜合從 245% 掉到 207%，核心從 213% 掉到 180%，與中再一季度暴跌 102 個百分點對應。這是財政注資名單裡唯一在「當下」出現急性症狀的一家。</w:t>
      </w:r>
    </w:p>
    <w:p>
      <w:pPr>
        <w:pStyle w:val="Heading3"/>
      </w:pPr>
      <w:r>
        <w:t>二、主要公司快照（2026 年最新可得）</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公司</w:t>
            </w:r>
          </w:p>
        </w:tc>
        <w:tc>
          <w:tcPr>
            <w:tcW w:type="dxa" w:w="1994"/>
          </w:tcPr>
          <w:p>
            <w:r>
              <w:rPr>
                <w:b/>
                <w:sz w:val="18"/>
              </w:rPr>
            </w:r>
            <w:r>
              <w:rPr>
                <w:b/>
                <w:sz w:val="18"/>
              </w:rPr>
              <w:t>期別</w:t>
            </w:r>
          </w:p>
        </w:tc>
        <w:tc>
          <w:tcPr>
            <w:tcW w:type="dxa" w:w="1994"/>
          </w:tcPr>
          <w:p>
            <w:r>
              <w:rPr>
                <w:b/>
                <w:sz w:val="18"/>
              </w:rPr>
            </w:r>
            <w:r>
              <w:rPr>
                <w:b/>
                <w:sz w:val="18"/>
              </w:rPr>
              <w:t>核心</w:t>
            </w:r>
          </w:p>
        </w:tc>
        <w:tc>
          <w:tcPr>
            <w:tcW w:type="dxa" w:w="1994"/>
          </w:tcPr>
          <w:p>
            <w:r>
              <w:rPr>
                <w:b/>
                <w:sz w:val="18"/>
              </w:rPr>
            </w:r>
            <w:r>
              <w:rPr>
                <w:b/>
                <w:sz w:val="18"/>
              </w:rPr>
              <w:t>綜合</w:t>
            </w:r>
          </w:p>
        </w:tc>
        <w:tc>
          <w:tcPr>
            <w:tcW w:type="dxa" w:w="1994"/>
          </w:tcPr>
          <w:p>
            <w:r>
              <w:rPr>
                <w:b/>
                <w:sz w:val="18"/>
              </w:rPr>
            </w:r>
            <w:r>
              <w:rPr>
                <w:b/>
                <w:sz w:val="18"/>
              </w:rPr>
              <w:t>備註</w:t>
            </w:r>
          </w:p>
        </w:tc>
      </w:tr>
      <w:tr>
        <w:tc>
          <w:tcPr>
            <w:tcW w:type="dxa" w:w="1994"/>
          </w:tcPr>
          <w:p>
            <w:r>
              <w:rPr>
                <w:sz w:val="18"/>
              </w:rPr>
            </w:r>
            <w:r>
              <w:rPr>
                <w:sz w:val="18"/>
              </w:rPr>
              <w:t>友邦人壽（中國）</w:t>
            </w:r>
          </w:p>
        </w:tc>
        <w:tc>
          <w:tcPr>
            <w:tcW w:type="dxa" w:w="1994"/>
          </w:tcPr>
          <w:p>
            <w:r>
              <w:rPr>
                <w:sz w:val="18"/>
              </w:rPr>
            </w:r>
            <w:r>
              <w:rPr>
                <w:sz w:val="18"/>
              </w:rPr>
              <w:t>2026Q1</w:t>
            </w:r>
          </w:p>
        </w:tc>
        <w:tc>
          <w:tcPr>
            <w:tcW w:type="dxa" w:w="1994"/>
          </w:tcPr>
          <w:p>
            <w:r>
              <w:rPr>
                <w:sz w:val="18"/>
              </w:rPr>
            </w:r>
            <w:r>
              <w:rPr>
                <w:sz w:val="18"/>
              </w:rPr>
              <w:t>—</w:t>
            </w:r>
          </w:p>
        </w:tc>
        <w:tc>
          <w:tcPr>
            <w:tcW w:type="dxa" w:w="1994"/>
          </w:tcPr>
          <w:p>
            <w:r>
              <w:rPr>
                <w:sz w:val="18"/>
              </w:rPr>
            </w:r>
            <w:r>
              <w:rPr>
                <w:sz w:val="18"/>
              </w:rPr>
              <w:t>307.2%</w:t>
            </w:r>
          </w:p>
        </w:tc>
        <w:tc>
          <w:tcPr>
            <w:tcW w:type="dxa" w:w="1994"/>
          </w:tcPr>
          <w:p>
            <w:r>
              <w:rPr>
                <w:sz w:val="18"/>
              </w:rPr>
            </w:r>
            <w:r>
              <w:rPr>
                <w:sz w:val="18"/>
              </w:rPr>
              <w:t>多份榜單居首</w:t>
            </w:r>
          </w:p>
        </w:tc>
      </w:tr>
      <w:tr>
        <w:tc>
          <w:tcPr>
            <w:tcW w:type="dxa" w:w="1994"/>
          </w:tcPr>
          <w:p>
            <w:r>
              <w:rPr>
                <w:sz w:val="18"/>
              </w:rPr>
            </w:r>
            <w:r>
              <w:rPr>
                <w:sz w:val="18"/>
              </w:rPr>
              <w:t>大地保險</w:t>
            </w:r>
          </w:p>
        </w:tc>
        <w:tc>
          <w:tcPr>
            <w:tcW w:type="dxa" w:w="1994"/>
          </w:tcPr>
          <w:p>
            <w:r>
              <w:rPr>
                <w:sz w:val="18"/>
              </w:rPr>
            </w:r>
            <w:r>
              <w:rPr>
                <w:sz w:val="18"/>
              </w:rPr>
              <w:t>2026Q1</w:t>
            </w:r>
          </w:p>
        </w:tc>
        <w:tc>
          <w:tcPr>
            <w:tcW w:type="dxa" w:w="1994"/>
          </w:tcPr>
          <w:p>
            <w:r>
              <w:rPr>
                <w:sz w:val="18"/>
              </w:rPr>
            </w:r>
            <w:r>
              <w:rPr>
                <w:sz w:val="18"/>
              </w:rPr>
              <w:t>247%</w:t>
            </w:r>
          </w:p>
        </w:tc>
        <w:tc>
          <w:tcPr>
            <w:tcW w:type="dxa" w:w="1994"/>
          </w:tcPr>
          <w:p>
            <w:r>
              <w:rPr>
                <w:sz w:val="18"/>
              </w:rPr>
            </w:r>
            <w:r>
              <w:rPr>
                <w:sz w:val="18"/>
              </w:rPr>
              <w:t>277%</w:t>
            </w:r>
          </w:p>
        </w:tc>
        <w:tc>
          <w:tcPr>
            <w:tcW w:type="dxa" w:w="1994"/>
          </w:tcPr>
          <w:p>
            <w:r>
              <w:rPr>
                <w:sz w:val="18"/>
              </w:rPr>
            </w:r>
          </w:p>
        </w:tc>
      </w:tr>
      <w:tr>
        <w:tc>
          <w:tcPr>
            <w:tcW w:type="dxa" w:w="1994"/>
          </w:tcPr>
          <w:p>
            <w:r>
              <w:rPr>
                <w:sz w:val="18"/>
              </w:rPr>
            </w:r>
            <w:r>
              <w:rPr>
                <w:sz w:val="18"/>
              </w:rPr>
              <w:t>陽光財險</w:t>
            </w:r>
          </w:p>
        </w:tc>
        <w:tc>
          <w:tcPr>
            <w:tcW w:type="dxa" w:w="1994"/>
          </w:tcPr>
          <w:p>
            <w:r>
              <w:rPr>
                <w:sz w:val="18"/>
              </w:rPr>
            </w:r>
            <w:r>
              <w:rPr>
                <w:sz w:val="18"/>
              </w:rPr>
              <w:t>2026Q1</w:t>
            </w:r>
          </w:p>
        </w:tc>
        <w:tc>
          <w:tcPr>
            <w:tcW w:type="dxa" w:w="1994"/>
          </w:tcPr>
          <w:p>
            <w:r>
              <w:rPr>
                <w:sz w:val="18"/>
              </w:rPr>
            </w:r>
            <w:r>
              <w:rPr>
                <w:sz w:val="18"/>
              </w:rPr>
              <w:t>182%</w:t>
            </w:r>
          </w:p>
        </w:tc>
        <w:tc>
          <w:tcPr>
            <w:tcW w:type="dxa" w:w="1994"/>
          </w:tcPr>
          <w:p>
            <w:r>
              <w:rPr>
                <w:sz w:val="18"/>
              </w:rPr>
            </w:r>
            <w:r>
              <w:rPr>
                <w:sz w:val="18"/>
              </w:rPr>
              <w:t>252%</w:t>
            </w:r>
          </w:p>
        </w:tc>
        <w:tc>
          <w:tcPr>
            <w:tcW w:type="dxa" w:w="1994"/>
          </w:tcPr>
          <w:p>
            <w:r>
              <w:rPr>
                <w:sz w:val="18"/>
              </w:rPr>
            </w:r>
          </w:p>
        </w:tc>
      </w:tr>
      <w:tr>
        <w:tc>
          <w:tcPr>
            <w:tcW w:type="dxa" w:w="1994"/>
          </w:tcPr>
          <w:p>
            <w:r>
              <w:rPr>
                <w:sz w:val="18"/>
              </w:rPr>
            </w:r>
            <w:r>
              <w:rPr>
                <w:sz w:val="18"/>
              </w:rPr>
              <w:t>人保集團</w:t>
            </w:r>
          </w:p>
        </w:tc>
        <w:tc>
          <w:tcPr>
            <w:tcW w:type="dxa" w:w="1994"/>
          </w:tcPr>
          <w:p>
            <w:r>
              <w:rPr>
                <w:sz w:val="18"/>
              </w:rPr>
            </w:r>
            <w:r>
              <w:rPr>
                <w:sz w:val="18"/>
              </w:rPr>
              <w:t>2025 末</w:t>
            </w:r>
          </w:p>
        </w:tc>
        <w:tc>
          <w:tcPr>
            <w:tcW w:type="dxa" w:w="1994"/>
          </w:tcPr>
          <w:p>
            <w:r>
              <w:rPr>
                <w:sz w:val="18"/>
              </w:rPr>
            </w:r>
            <w:r>
              <w:rPr>
                <w:sz w:val="18"/>
              </w:rPr>
              <w:t>201.3%</w:t>
            </w:r>
          </w:p>
        </w:tc>
        <w:tc>
          <w:tcPr>
            <w:tcW w:type="dxa" w:w="1994"/>
          </w:tcPr>
          <w:p>
            <w:r>
              <w:rPr>
                <w:sz w:val="18"/>
              </w:rPr>
            </w:r>
            <w:r>
              <w:rPr>
                <w:sz w:val="18"/>
              </w:rPr>
              <w:t>249.9%</w:t>
            </w:r>
          </w:p>
        </w:tc>
        <w:tc>
          <w:tcPr>
            <w:tcW w:type="dxa" w:w="1994"/>
          </w:tcPr>
          <w:p>
            <w:r>
              <w:rPr>
                <w:sz w:val="18"/>
              </w:rPr>
            </w:r>
          </w:p>
        </w:tc>
      </w:tr>
      <w:tr>
        <w:tc>
          <w:tcPr>
            <w:tcW w:type="dxa" w:w="1994"/>
          </w:tcPr>
          <w:p>
            <w:r>
              <w:rPr>
                <w:sz w:val="18"/>
              </w:rPr>
            </w:r>
            <w:r>
              <w:rPr>
                <w:sz w:val="18"/>
              </w:rPr>
              <w:t>人保財險</w:t>
            </w:r>
          </w:p>
        </w:tc>
        <w:tc>
          <w:tcPr>
            <w:tcW w:type="dxa" w:w="1994"/>
          </w:tcPr>
          <w:p>
            <w:r>
              <w:rPr>
                <w:sz w:val="18"/>
              </w:rPr>
            </w:r>
            <w:r>
              <w:rPr>
                <w:sz w:val="18"/>
              </w:rPr>
              <w:t>2026Q1</w:t>
            </w:r>
          </w:p>
        </w:tc>
        <w:tc>
          <w:tcPr>
            <w:tcW w:type="dxa" w:w="1994"/>
          </w:tcPr>
          <w:p>
            <w:r>
              <w:rPr>
                <w:sz w:val="18"/>
              </w:rPr>
            </w:r>
            <w:r>
              <w:rPr>
                <w:sz w:val="18"/>
              </w:rPr>
              <w:t>216%</w:t>
            </w:r>
          </w:p>
        </w:tc>
        <w:tc>
          <w:tcPr>
            <w:tcW w:type="dxa" w:w="1994"/>
          </w:tcPr>
          <w:p>
            <w:r>
              <w:rPr>
                <w:sz w:val="18"/>
              </w:rPr>
            </w:r>
            <w:r>
              <w:rPr>
                <w:sz w:val="18"/>
              </w:rPr>
              <w:t>238%</w:t>
            </w:r>
          </w:p>
        </w:tc>
        <w:tc>
          <w:tcPr>
            <w:tcW w:type="dxa" w:w="1994"/>
          </w:tcPr>
          <w:p>
            <w:r>
              <w:rPr>
                <w:sz w:val="18"/>
              </w:rPr>
            </w:r>
          </w:p>
        </w:tc>
      </w:tr>
      <w:tr>
        <w:tc>
          <w:tcPr>
            <w:tcW w:type="dxa" w:w="1994"/>
          </w:tcPr>
          <w:p>
            <w:r>
              <w:rPr>
                <w:sz w:val="18"/>
              </w:rPr>
            </w:r>
            <w:r>
              <w:rPr>
                <w:sz w:val="18"/>
              </w:rPr>
              <w:t>太保產險</w:t>
            </w:r>
          </w:p>
        </w:tc>
        <w:tc>
          <w:tcPr>
            <w:tcW w:type="dxa" w:w="1994"/>
          </w:tcPr>
          <w:p>
            <w:r>
              <w:rPr>
                <w:sz w:val="18"/>
              </w:rPr>
            </w:r>
            <w:r>
              <w:rPr>
                <w:sz w:val="18"/>
              </w:rPr>
              <w:t>2026Q1</w:t>
            </w:r>
          </w:p>
        </w:tc>
        <w:tc>
          <w:tcPr>
            <w:tcW w:type="dxa" w:w="1994"/>
          </w:tcPr>
          <w:p>
            <w:r>
              <w:rPr>
                <w:sz w:val="18"/>
              </w:rPr>
            </w:r>
            <w:r>
              <w:rPr>
                <w:sz w:val="18"/>
              </w:rPr>
              <w:t>—</w:t>
            </w:r>
          </w:p>
        </w:tc>
        <w:tc>
          <w:tcPr>
            <w:tcW w:type="dxa" w:w="1994"/>
          </w:tcPr>
          <w:p>
            <w:r>
              <w:rPr>
                <w:sz w:val="18"/>
              </w:rPr>
            </w:r>
            <w:r>
              <w:rPr>
                <w:sz w:val="18"/>
              </w:rPr>
              <w:t>237.5%</w:t>
            </w:r>
          </w:p>
        </w:tc>
        <w:tc>
          <w:tcPr>
            <w:tcW w:type="dxa" w:w="1994"/>
          </w:tcPr>
          <w:p>
            <w:r>
              <w:rPr>
                <w:sz w:val="18"/>
              </w:rPr>
            </w:r>
          </w:p>
        </w:tc>
      </w:tr>
      <w:tr>
        <w:tc>
          <w:tcPr>
            <w:tcW w:type="dxa" w:w="1994"/>
          </w:tcPr>
          <w:p>
            <w:r>
              <w:rPr>
                <w:sz w:val="18"/>
              </w:rPr>
            </w:r>
            <w:r>
              <w:rPr>
                <w:sz w:val="18"/>
              </w:rPr>
              <w:t>泰康人壽</w:t>
            </w:r>
          </w:p>
        </w:tc>
        <w:tc>
          <w:tcPr>
            <w:tcW w:type="dxa" w:w="1994"/>
          </w:tcPr>
          <w:p>
            <w:r>
              <w:rPr>
                <w:sz w:val="18"/>
              </w:rPr>
            </w:r>
            <w:r>
              <w:rPr>
                <w:sz w:val="18"/>
              </w:rPr>
              <w:t>2026Q1</w:t>
            </w:r>
          </w:p>
        </w:tc>
        <w:tc>
          <w:tcPr>
            <w:tcW w:type="dxa" w:w="1994"/>
          </w:tcPr>
          <w:p>
            <w:r>
              <w:rPr>
                <w:sz w:val="18"/>
              </w:rPr>
            </w:r>
            <w:r>
              <w:rPr>
                <w:sz w:val="18"/>
              </w:rPr>
              <w:t>160.2%</w:t>
            </w:r>
          </w:p>
        </w:tc>
        <w:tc>
          <w:tcPr>
            <w:tcW w:type="dxa" w:w="1994"/>
          </w:tcPr>
          <w:p>
            <w:r>
              <w:rPr>
                <w:sz w:val="18"/>
              </w:rPr>
            </w:r>
            <w:r>
              <w:rPr>
                <w:sz w:val="18"/>
              </w:rPr>
              <w:t>235.6%</w:t>
            </w:r>
          </w:p>
        </w:tc>
        <w:tc>
          <w:tcPr>
            <w:tcW w:type="dxa" w:w="1994"/>
          </w:tcPr>
          <w:p>
            <w:r>
              <w:rPr>
                <w:sz w:val="18"/>
              </w:rPr>
            </w:r>
            <w:r>
              <w:rPr>
                <w:sz w:val="18"/>
              </w:rPr>
              <w:t>較 2025Q2 的 224%／321% 大幅回落</w:t>
            </w:r>
          </w:p>
        </w:tc>
      </w:tr>
      <w:tr>
        <w:tc>
          <w:tcPr>
            <w:tcW w:type="dxa" w:w="1994"/>
          </w:tcPr>
          <w:p>
            <w:r>
              <w:rPr>
                <w:sz w:val="18"/>
              </w:rPr>
            </w:r>
            <w:r>
              <w:rPr>
                <w:sz w:val="18"/>
              </w:rPr>
              <w:t>太平人壽</w:t>
            </w:r>
          </w:p>
        </w:tc>
        <w:tc>
          <w:tcPr>
            <w:tcW w:type="dxa" w:w="1994"/>
          </w:tcPr>
          <w:p>
            <w:r>
              <w:rPr>
                <w:sz w:val="18"/>
              </w:rPr>
            </w:r>
            <w:r>
              <w:rPr>
                <w:sz w:val="18"/>
              </w:rPr>
              <w:t>2026Q1</w:t>
            </w:r>
          </w:p>
        </w:tc>
        <w:tc>
          <w:tcPr>
            <w:tcW w:type="dxa" w:w="1994"/>
          </w:tcPr>
          <w:p>
            <w:r>
              <w:rPr>
                <w:sz w:val="18"/>
              </w:rPr>
            </w:r>
            <w:r>
              <w:rPr>
                <w:sz w:val="18"/>
              </w:rPr>
              <w:t>133.5%</w:t>
            </w:r>
          </w:p>
        </w:tc>
        <w:tc>
          <w:tcPr>
            <w:tcW w:type="dxa" w:w="1994"/>
          </w:tcPr>
          <w:p>
            <w:r>
              <w:rPr>
                <w:sz w:val="18"/>
              </w:rPr>
            </w:r>
            <w:r>
              <w:rPr>
                <w:sz w:val="18"/>
              </w:rPr>
              <w:t>224.3%</w:t>
            </w:r>
          </w:p>
        </w:tc>
        <w:tc>
          <w:tcPr>
            <w:tcW w:type="dxa" w:w="1994"/>
          </w:tcPr>
          <w:p>
            <w:r>
              <w:rPr>
                <w:sz w:val="18"/>
              </w:rPr>
            </w:r>
            <w:r>
              <w:rPr>
                <w:sz w:val="18"/>
              </w:rPr>
              <w:t>兩季核心少 22 個百分點；公司自估 2026Q2 為 112.3%／201.1%（原文）</w:t>
            </w:r>
          </w:p>
        </w:tc>
      </w:tr>
      <w:tr>
        <w:tc>
          <w:tcPr>
            <w:tcW w:type="dxa" w:w="1994"/>
          </w:tcPr>
          <w:p>
            <w:r>
              <w:rPr>
                <w:sz w:val="18"/>
              </w:rPr>
            </w:r>
            <w:r>
              <w:rPr>
                <w:sz w:val="18"/>
              </w:rPr>
              <w:t>中國太平集團</w:t>
            </w:r>
          </w:p>
        </w:tc>
        <w:tc>
          <w:tcPr>
            <w:tcW w:type="dxa" w:w="1994"/>
          </w:tcPr>
          <w:p>
            <w:r>
              <w:rPr>
                <w:sz w:val="18"/>
              </w:rPr>
            </w:r>
            <w:r>
              <w:rPr>
                <w:sz w:val="18"/>
              </w:rPr>
              <w:t>2025 末</w:t>
            </w:r>
          </w:p>
        </w:tc>
        <w:tc>
          <w:tcPr>
            <w:tcW w:type="dxa" w:w="1994"/>
          </w:tcPr>
          <w:p>
            <w:r>
              <w:rPr>
                <w:sz w:val="18"/>
              </w:rPr>
            </w:r>
            <w:r>
              <w:rPr>
                <w:sz w:val="18"/>
              </w:rPr>
              <w:t>146%</w:t>
            </w:r>
          </w:p>
        </w:tc>
        <w:tc>
          <w:tcPr>
            <w:tcW w:type="dxa" w:w="1994"/>
          </w:tcPr>
          <w:p>
            <w:r>
              <w:rPr>
                <w:sz w:val="18"/>
              </w:rPr>
            </w:r>
            <w:r>
              <w:rPr>
                <w:sz w:val="18"/>
              </w:rPr>
              <w:t>222%</w:t>
            </w:r>
          </w:p>
        </w:tc>
        <w:tc>
          <w:tcPr>
            <w:tcW w:type="dxa" w:w="1994"/>
          </w:tcPr>
          <w:p>
            <w:r>
              <w:rPr>
                <w:sz w:val="18"/>
              </w:rPr>
            </w:r>
            <w:r>
              <w:rPr>
                <w:sz w:val="18"/>
              </w:rPr>
              <w:t>2024 末 178%／271%，一年掉 32／49 個百分點（原文）</w:t>
            </w:r>
          </w:p>
        </w:tc>
      </w:tr>
      <w:tr>
        <w:tc>
          <w:tcPr>
            <w:tcW w:type="dxa" w:w="1994"/>
          </w:tcPr>
          <w:p>
            <w:r>
              <w:rPr>
                <w:sz w:val="18"/>
              </w:rPr>
            </w:r>
            <w:r>
              <w:rPr>
                <w:sz w:val="18"/>
              </w:rPr>
              <w:t>中華聯合財險</w:t>
            </w:r>
          </w:p>
        </w:tc>
        <w:tc>
          <w:tcPr>
            <w:tcW w:type="dxa" w:w="1994"/>
          </w:tcPr>
          <w:p>
            <w:r>
              <w:rPr>
                <w:sz w:val="18"/>
              </w:rPr>
            </w:r>
            <w:r>
              <w:rPr>
                <w:sz w:val="18"/>
              </w:rPr>
              <w:t>2026Q1</w:t>
            </w:r>
          </w:p>
        </w:tc>
        <w:tc>
          <w:tcPr>
            <w:tcW w:type="dxa" w:w="1994"/>
          </w:tcPr>
          <w:p>
            <w:r>
              <w:rPr>
                <w:sz w:val="18"/>
              </w:rPr>
            </w:r>
            <w:r>
              <w:rPr>
                <w:sz w:val="18"/>
              </w:rPr>
              <w:t>130.8%</w:t>
            </w:r>
          </w:p>
        </w:tc>
        <w:tc>
          <w:tcPr>
            <w:tcW w:type="dxa" w:w="1994"/>
          </w:tcPr>
          <w:p>
            <w:r>
              <w:rPr>
                <w:sz w:val="18"/>
              </w:rPr>
            </w:r>
            <w:r>
              <w:rPr>
                <w:sz w:val="18"/>
              </w:rPr>
              <w:t>215.9%</w:t>
            </w:r>
          </w:p>
        </w:tc>
        <w:tc>
          <w:tcPr>
            <w:tcW w:type="dxa" w:w="1994"/>
          </w:tcPr>
          <w:p>
            <w:r>
              <w:rPr>
                <w:sz w:val="18"/>
              </w:rPr>
            </w:r>
          </w:p>
        </w:tc>
      </w:tr>
      <w:tr>
        <w:tc>
          <w:tcPr>
            <w:tcW w:type="dxa" w:w="1994"/>
          </w:tcPr>
          <w:p>
            <w:r>
              <w:rPr>
                <w:sz w:val="18"/>
              </w:rPr>
            </w:r>
            <w:r>
              <w:rPr>
                <w:sz w:val="18"/>
              </w:rPr>
              <w:t>太保壽險</w:t>
            </w:r>
          </w:p>
        </w:tc>
        <w:tc>
          <w:tcPr>
            <w:tcW w:type="dxa" w:w="1994"/>
          </w:tcPr>
          <w:p>
            <w:r>
              <w:rPr>
                <w:sz w:val="18"/>
              </w:rPr>
            </w:r>
            <w:r>
              <w:rPr>
                <w:sz w:val="18"/>
              </w:rPr>
              <w:t>2026Q1</w:t>
            </w:r>
          </w:p>
        </w:tc>
        <w:tc>
          <w:tcPr>
            <w:tcW w:type="dxa" w:w="1994"/>
          </w:tcPr>
          <w:p>
            <w:r>
              <w:rPr>
                <w:sz w:val="18"/>
              </w:rPr>
            </w:r>
            <w:r>
              <w:rPr>
                <w:sz w:val="18"/>
              </w:rPr>
              <w:t>146.0%</w:t>
            </w:r>
          </w:p>
        </w:tc>
        <w:tc>
          <w:tcPr>
            <w:tcW w:type="dxa" w:w="1994"/>
          </w:tcPr>
          <w:p>
            <w:r>
              <w:rPr>
                <w:sz w:val="18"/>
              </w:rPr>
            </w:r>
            <w:r>
              <w:rPr>
                <w:sz w:val="18"/>
              </w:rPr>
              <w:t>214.0%</w:t>
            </w:r>
          </w:p>
        </w:tc>
        <w:tc>
          <w:tcPr>
            <w:tcW w:type="dxa" w:w="1994"/>
          </w:tcPr>
          <w:p>
            <w:r>
              <w:rPr>
                <w:sz w:val="18"/>
              </w:rPr>
            </w:r>
          </w:p>
        </w:tc>
      </w:tr>
      <w:tr>
        <w:tc>
          <w:tcPr>
            <w:tcW w:type="dxa" w:w="1994"/>
          </w:tcPr>
          <w:p>
            <w:r>
              <w:rPr>
                <w:sz w:val="18"/>
              </w:rPr>
            </w:r>
            <w:r>
              <w:rPr>
                <w:sz w:val="18"/>
              </w:rPr>
              <w:t>新華保險</w:t>
            </w:r>
          </w:p>
        </w:tc>
        <w:tc>
          <w:tcPr>
            <w:tcW w:type="dxa" w:w="1994"/>
          </w:tcPr>
          <w:p>
            <w:r>
              <w:rPr>
                <w:sz w:val="18"/>
              </w:rPr>
            </w:r>
            <w:r>
              <w:rPr>
                <w:sz w:val="18"/>
              </w:rPr>
              <w:t>2026Q2</w:t>
            </w:r>
          </w:p>
        </w:tc>
        <w:tc>
          <w:tcPr>
            <w:tcW w:type="dxa" w:w="1994"/>
          </w:tcPr>
          <w:p>
            <w:r>
              <w:rPr>
                <w:sz w:val="18"/>
              </w:rPr>
            </w:r>
            <w:r>
              <w:rPr>
                <w:sz w:val="18"/>
              </w:rPr>
              <w:t>126.2%</w:t>
            </w:r>
          </w:p>
        </w:tc>
        <w:tc>
          <w:tcPr>
            <w:tcW w:type="dxa" w:w="1994"/>
          </w:tcPr>
          <w:p>
            <w:r>
              <w:rPr>
                <w:sz w:val="18"/>
              </w:rPr>
            </w:r>
            <w:r>
              <w:rPr>
                <w:sz w:val="18"/>
              </w:rPr>
              <w:t>195.7%</w:t>
            </w:r>
          </w:p>
        </w:tc>
        <w:tc>
          <w:tcPr>
            <w:tcW w:type="dxa" w:w="1994"/>
          </w:tcPr>
          <w:p>
            <w:r>
              <w:rPr>
                <w:sz w:val="18"/>
              </w:rPr>
            </w:r>
            <w:r>
              <w:rPr>
                <w:sz w:val="18"/>
              </w:rPr>
              <w:t>綜合連續三期下滑</w:t>
            </w:r>
          </w:p>
        </w:tc>
      </w:tr>
      <w:tr>
        <w:tc>
          <w:tcPr>
            <w:tcW w:type="dxa" w:w="1994"/>
          </w:tcPr>
          <w:p>
            <w:r>
              <w:rPr>
                <w:sz w:val="18"/>
              </w:rPr>
            </w:r>
            <w:r>
              <w:rPr>
                <w:sz w:val="18"/>
              </w:rPr>
              <w:t>國壽股份</w:t>
            </w:r>
          </w:p>
        </w:tc>
        <w:tc>
          <w:tcPr>
            <w:tcW w:type="dxa" w:w="1994"/>
          </w:tcPr>
          <w:p>
            <w:r>
              <w:rPr>
                <w:sz w:val="18"/>
              </w:rPr>
            </w:r>
            <w:r>
              <w:rPr>
                <w:sz w:val="18"/>
              </w:rPr>
              <w:t>2026Q2</w:t>
            </w:r>
          </w:p>
        </w:tc>
        <w:tc>
          <w:tcPr>
            <w:tcW w:type="dxa" w:w="1994"/>
          </w:tcPr>
          <w:p>
            <w:r>
              <w:rPr>
                <w:sz w:val="18"/>
              </w:rPr>
            </w:r>
            <w:r>
              <w:rPr>
                <w:sz w:val="18"/>
              </w:rPr>
              <w:t>156.8%</w:t>
            </w:r>
          </w:p>
        </w:tc>
        <w:tc>
          <w:tcPr>
            <w:tcW w:type="dxa" w:w="1994"/>
          </w:tcPr>
          <w:p>
            <w:r>
              <w:rPr>
                <w:sz w:val="18"/>
              </w:rPr>
            </w:r>
            <w:r>
              <w:rPr>
                <w:sz w:val="18"/>
              </w:rPr>
              <w:t>197.8%</w:t>
            </w:r>
          </w:p>
        </w:tc>
        <w:tc>
          <w:tcPr>
            <w:tcW w:type="dxa" w:w="1994"/>
          </w:tcPr>
          <w:p>
            <w:r>
              <w:rPr>
                <w:sz w:val="18"/>
              </w:rPr>
            </w:r>
            <w:r>
              <w:rPr>
                <w:sz w:val="18"/>
              </w:rPr>
              <w:t>2025 末曾降至 128.8%／174.0%</w:t>
            </w:r>
          </w:p>
        </w:tc>
      </w:tr>
      <w:tr>
        <w:tc>
          <w:tcPr>
            <w:tcW w:type="dxa" w:w="1994"/>
          </w:tcPr>
          <w:p>
            <w:r>
              <w:rPr>
                <w:sz w:val="18"/>
              </w:rPr>
            </w:r>
            <w:r>
              <w:rPr>
                <w:sz w:val="18"/>
              </w:rPr>
              <w:t>平安人壽</w:t>
            </w:r>
          </w:p>
        </w:tc>
        <w:tc>
          <w:tcPr>
            <w:tcW w:type="dxa" w:w="1994"/>
          </w:tcPr>
          <w:p>
            <w:r>
              <w:rPr>
                <w:sz w:val="18"/>
              </w:rPr>
            </w:r>
            <w:r>
              <w:rPr>
                <w:sz w:val="18"/>
              </w:rPr>
              <w:t>2026Q1</w:t>
            </w:r>
          </w:p>
        </w:tc>
        <w:tc>
          <w:tcPr>
            <w:tcW w:type="dxa" w:w="1994"/>
          </w:tcPr>
          <w:p>
            <w:r>
              <w:rPr>
                <w:sz w:val="18"/>
              </w:rPr>
            </w:r>
            <w:r>
              <w:rPr>
                <w:sz w:val="18"/>
              </w:rPr>
              <w:t>131.0%</w:t>
            </w:r>
          </w:p>
        </w:tc>
        <w:tc>
          <w:tcPr>
            <w:tcW w:type="dxa" w:w="1994"/>
          </w:tcPr>
          <w:p>
            <w:r>
              <w:rPr>
                <w:sz w:val="18"/>
              </w:rPr>
            </w:r>
            <w:r>
              <w:rPr>
                <w:sz w:val="18"/>
              </w:rPr>
              <w:t>183.3%</w:t>
            </w:r>
          </w:p>
        </w:tc>
        <w:tc>
          <w:tcPr>
            <w:tcW w:type="dxa" w:w="1994"/>
          </w:tcPr>
          <w:p>
            <w:r>
              <w:rPr>
                <w:sz w:val="18"/>
              </w:rPr>
            </w:r>
          </w:p>
        </w:tc>
      </w:tr>
      <w:tr>
        <w:tc>
          <w:tcPr>
            <w:tcW w:type="dxa" w:w="1994"/>
          </w:tcPr>
          <w:p>
            <w:r>
              <w:rPr>
                <w:sz w:val="18"/>
              </w:rPr>
            </w:r>
            <w:r>
              <w:rPr>
                <w:sz w:val="18"/>
              </w:rPr>
              <w:t>陽光人壽</w:t>
            </w:r>
          </w:p>
        </w:tc>
        <w:tc>
          <w:tcPr>
            <w:tcW w:type="dxa" w:w="1994"/>
          </w:tcPr>
          <w:p>
            <w:r>
              <w:rPr>
                <w:sz w:val="18"/>
              </w:rPr>
            </w:r>
            <w:r>
              <w:rPr>
                <w:sz w:val="18"/>
              </w:rPr>
              <w:t>2025Q3</w:t>
            </w:r>
          </w:p>
        </w:tc>
        <w:tc>
          <w:tcPr>
            <w:tcW w:type="dxa" w:w="1994"/>
          </w:tcPr>
          <w:p>
            <w:r>
              <w:rPr>
                <w:sz w:val="18"/>
              </w:rPr>
            </w:r>
            <w:r>
              <w:rPr>
                <w:sz w:val="18"/>
              </w:rPr>
              <w:t>133.5%</w:t>
            </w:r>
          </w:p>
        </w:tc>
        <w:tc>
          <w:tcPr>
            <w:tcW w:type="dxa" w:w="1994"/>
          </w:tcPr>
          <w:p>
            <w:r>
              <w:rPr>
                <w:sz w:val="18"/>
              </w:rPr>
            </w:r>
            <w:r>
              <w:rPr>
                <w:sz w:val="18"/>
              </w:rPr>
              <w:t>194.0%</w:t>
            </w:r>
          </w:p>
        </w:tc>
        <w:tc>
          <w:tcPr>
            <w:tcW w:type="dxa" w:w="1994"/>
          </w:tcPr>
          <w:p>
            <w:r>
              <w:rPr>
                <w:sz w:val="18"/>
              </w:rPr>
            </w:r>
            <w:r>
              <w:rPr>
                <w:sz w:val="18"/>
              </w:rPr>
              <w:t>單季各降 21 個百分點</w:t>
            </w:r>
          </w:p>
        </w:tc>
      </w:tr>
      <w:tr>
        <w:tc>
          <w:tcPr>
            <w:tcW w:type="dxa" w:w="1994"/>
          </w:tcPr>
          <w:p>
            <w:r>
              <w:rPr>
                <w:sz w:val="18"/>
              </w:rPr>
            </w:r>
            <w:r>
              <w:rPr>
                <w:sz w:val="18"/>
              </w:rPr>
              <w:t>中郵人壽</w:t>
            </w:r>
          </w:p>
        </w:tc>
        <w:tc>
          <w:tcPr>
            <w:tcW w:type="dxa" w:w="1994"/>
          </w:tcPr>
          <w:p>
            <w:r>
              <w:rPr>
                <w:sz w:val="18"/>
              </w:rPr>
            </w:r>
            <w:r>
              <w:rPr>
                <w:sz w:val="18"/>
              </w:rPr>
              <w:t>2026Q1</w:t>
            </w:r>
          </w:p>
        </w:tc>
        <w:tc>
          <w:tcPr>
            <w:tcW w:type="dxa" w:w="1994"/>
          </w:tcPr>
          <w:p>
            <w:r>
              <w:rPr>
                <w:sz w:val="18"/>
              </w:rPr>
            </w:r>
            <w:r>
              <w:rPr>
                <w:sz w:val="18"/>
              </w:rPr>
              <w:t>97.0%</w:t>
            </w:r>
          </w:p>
        </w:tc>
        <w:tc>
          <w:tcPr>
            <w:tcW w:type="dxa" w:w="1994"/>
          </w:tcPr>
          <w:p>
            <w:r>
              <w:rPr>
                <w:sz w:val="18"/>
              </w:rPr>
            </w:r>
            <w:r>
              <w:rPr>
                <w:sz w:val="18"/>
              </w:rPr>
              <w:t>129.7%</w:t>
            </w:r>
          </w:p>
        </w:tc>
        <w:tc>
          <w:tcPr>
            <w:tcW w:type="dxa" w:w="1994"/>
          </w:tcPr>
          <w:p>
            <w:r>
              <w:rPr>
                <w:sz w:val="18"/>
              </w:rPr>
            </w:r>
            <w:r>
              <w:rPr>
                <w:sz w:val="18"/>
              </w:rPr>
              <w:t>2025Q1 曾單季降 22.7 個百分點至 93.9%，2025 年增資 39.8 億、發永續債 53 億</w:t>
            </w:r>
          </w:p>
        </w:tc>
      </w:tr>
      <w:tr>
        <w:tc>
          <w:tcPr>
            <w:tcW w:type="dxa" w:w="1994"/>
          </w:tcPr>
          <w:p>
            <w:r>
              <w:rPr>
                <w:sz w:val="18"/>
              </w:rPr>
            </w:r>
            <w:r>
              <w:rPr>
                <w:sz w:val="18"/>
              </w:rPr>
              <w:t>長生人壽</w:t>
            </w:r>
          </w:p>
        </w:tc>
        <w:tc>
          <w:tcPr>
            <w:tcW w:type="dxa" w:w="1994"/>
          </w:tcPr>
          <w:p>
            <w:r>
              <w:rPr>
                <w:sz w:val="18"/>
              </w:rPr>
            </w:r>
            <w:r>
              <w:rPr>
                <w:sz w:val="18"/>
              </w:rPr>
              <w:t>2026Q2</w:t>
            </w:r>
          </w:p>
        </w:tc>
        <w:tc>
          <w:tcPr>
            <w:tcW w:type="dxa" w:w="1994"/>
          </w:tcPr>
          <w:p>
            <w:r>
              <w:rPr>
                <w:sz w:val="18"/>
              </w:rPr>
            </w:r>
            <w:r>
              <w:rPr>
                <w:sz w:val="18"/>
              </w:rPr>
              <w:t>45.4%</w:t>
            </w:r>
          </w:p>
        </w:tc>
        <w:tc>
          <w:tcPr>
            <w:tcW w:type="dxa" w:w="1994"/>
          </w:tcPr>
          <w:p>
            <w:r>
              <w:rPr>
                <w:sz w:val="18"/>
              </w:rPr>
            </w:r>
            <w:r>
              <w:rPr>
                <w:sz w:val="18"/>
              </w:rPr>
              <w:t>55.5%</w:t>
            </w:r>
          </w:p>
        </w:tc>
        <w:tc>
          <w:tcPr>
            <w:tcW w:type="dxa" w:w="1994"/>
          </w:tcPr>
          <w:p>
            <w:r>
              <w:rPr>
                <w:sz w:val="18"/>
              </w:rPr>
            </w:r>
            <w:r>
              <w:rPr>
                <w:sz w:val="18"/>
              </w:rPr>
              <w:t>唯一因量化指標不達標，已被採取強制監管措施</w:t>
            </w:r>
          </w:p>
        </w:tc>
      </w:tr>
    </w:tbl>
    <w:p/>
    <w:p>
      <w:r>
        <w:t>未找到近期數字的公司：平安產險、國壽財險、太平財險、英大財險、招商信諾、建信人壽、工銀安盛、農銀人壽、大家人壽、瑞眾人壽、信泰人壽（2025 後）、百年人壽（2023Q1 後停披露）、富德生命（2021Q4 後停披露）、中國太平與太保、平安、新華集團口徑、中國信保。</w:t>
      </w:r>
    </w:p>
    <w:p>
      <w:pPr>
        <w:pStyle w:val="Heading3"/>
      </w:pPr>
      <w:r>
        <w:t>三、歷年被監管點名不達標的公司與後續</w:t>
      </w:r>
    </w:p>
    <w:p>
      <w:r>
        <w:t>不達標家數：2022 年中 12 家 → 2023 年中 16 家 → 2024Q1 13 家（另 16 家未披露、9 家評級成謎）→ 2024Q3 8 家 → 2024Q4 7 家 → 2025Q1 至 2026Q2 穩定 5 家。</w:t>
      </w:r>
    </w:p>
    <w:p>
      <w:r>
        <w:rPr>
          <w:b/>
        </w:rPr>
        <w:t>2026 年二季度 5 家</w:t>
      </w:r>
      <w:r>
        <w:t>：華匯人壽、安華農險、長生人壽、前海財險、亞太財險。除長生人壽外，其餘四家充足率都達標，是因風險綜合評級 C 類而不達標（治理僵局、持續虧損、農險季節性）。</w:t>
      </w:r>
    </w:p>
    <w:p>
      <w:r>
        <w:t>28 家歷史名單的結局分三類（完整表見 xlsx 工作表 2）：</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結局</w:t>
            </w:r>
          </w:p>
        </w:tc>
        <w:tc>
          <w:tcPr>
            <w:tcW w:type="dxa" w:w="3324"/>
          </w:tcPr>
          <w:p>
            <w:r>
              <w:rPr>
                <w:b/>
                <w:sz w:val="18"/>
              </w:rPr>
            </w:r>
            <w:r>
              <w:rPr>
                <w:b/>
                <w:sz w:val="18"/>
              </w:rPr>
              <w:t>公司</w:t>
            </w:r>
          </w:p>
        </w:tc>
        <w:tc>
          <w:tcPr>
            <w:tcW w:type="dxa" w:w="3324"/>
          </w:tcPr>
          <w:p>
            <w:r>
              <w:rPr>
                <w:b/>
                <w:sz w:val="18"/>
              </w:rPr>
            </w:r>
            <w:r>
              <w:rPr>
                <w:b/>
                <w:sz w:val="18"/>
              </w:rPr>
              <w:t>說明</w:t>
            </w:r>
          </w:p>
        </w:tc>
      </w:tr>
      <w:tr>
        <w:tc>
          <w:tcPr>
            <w:tcW w:type="dxa" w:w="3324"/>
          </w:tcPr>
          <w:p>
            <w:r>
              <w:rPr>
                <w:sz w:val="18"/>
              </w:rPr>
            </w:r>
            <w:r>
              <w:rPr>
                <w:b/>
                <w:sz w:val="18"/>
              </w:rPr>
              <w:t>接管、拆分、換牌</w:t>
            </w:r>
          </w:p>
        </w:tc>
        <w:tc>
          <w:tcPr>
            <w:tcW w:type="dxa" w:w="3324"/>
          </w:tcPr>
          <w:p>
            <w:r>
              <w:rPr>
                <w:sz w:val="18"/>
              </w:rPr>
            </w:r>
            <w:r>
              <w:rPr>
                <w:sz w:val="18"/>
              </w:rPr>
              <w:t>安邦→大家保險（2018 接管，2019 大家承接，2020 安邦清算）；華夏人壽→瑞眾人壽（2020 接管，2023 承接）；天安人壽→中匯人壽（匯金 80%、保障基金 20%）；天安財險→擬由申能財險承接；易安財險→比亞迪財險</w:t>
            </w:r>
          </w:p>
        </w:tc>
        <w:tc>
          <w:tcPr>
            <w:tcW w:type="dxa" w:w="3324"/>
          </w:tcPr>
          <w:p>
            <w:r>
              <w:rPr>
                <w:sz w:val="18"/>
              </w:rPr>
            </w:r>
            <w:r>
              <w:rPr>
                <w:sz w:val="18"/>
              </w:rPr>
              <w:t>原主體消失，保單由新公司承接，保險保障基金與國有資本出資</w:t>
            </w:r>
          </w:p>
        </w:tc>
      </w:tr>
      <w:tr>
        <w:tc>
          <w:tcPr>
            <w:tcW w:type="dxa" w:w="3324"/>
          </w:tcPr>
          <w:p>
            <w:r>
              <w:rPr>
                <w:sz w:val="18"/>
              </w:rPr>
            </w:r>
            <w:r>
              <w:rPr>
                <w:b/>
                <w:sz w:val="18"/>
              </w:rPr>
              <w:t>增資紓困成功</w:t>
            </w:r>
          </w:p>
        </w:tc>
        <w:tc>
          <w:tcPr>
            <w:tcW w:type="dxa" w:w="3324"/>
          </w:tcPr>
          <w:p>
            <w:r>
              <w:rPr>
                <w:sz w:val="18"/>
              </w:rPr>
            </w:r>
            <w:r>
              <w:rPr>
                <w:sz w:val="18"/>
              </w:rPr>
              <w:t>中法人壽→小康人壽（連虧 15 年、充足率曾為 −16131%，2024 年扭虧、充足率 310.88%）；信泰人壽（2024 年浙江國資 94 億增資控股 51%，回到 117%／132%）</w:t>
            </w:r>
          </w:p>
        </w:tc>
        <w:tc>
          <w:tcPr>
            <w:tcW w:type="dxa" w:w="3324"/>
          </w:tcPr>
          <w:p>
            <w:r>
              <w:rPr>
                <w:sz w:val="18"/>
              </w:rPr>
            </w:r>
            <w:r>
              <w:rPr>
                <w:sz w:val="18"/>
              </w:rPr>
              <w:t>少數由「資不抵債」翻身的樣本</w:t>
            </w:r>
          </w:p>
        </w:tc>
      </w:tr>
      <w:tr>
        <w:tc>
          <w:tcPr>
            <w:tcW w:type="dxa" w:w="3324"/>
          </w:tcPr>
          <w:p>
            <w:r>
              <w:rPr>
                <w:sz w:val="18"/>
              </w:rPr>
            </w:r>
            <w:r>
              <w:rPr>
                <w:b/>
                <w:sz w:val="18"/>
              </w:rPr>
              <w:t>長期停滯或資訊真空</w:t>
            </w:r>
          </w:p>
        </w:tc>
        <w:tc>
          <w:tcPr>
            <w:tcW w:type="dxa" w:w="3324"/>
          </w:tcPr>
          <w:p>
            <w:r>
              <w:rPr>
                <w:sz w:val="18"/>
              </w:rPr>
            </w:r>
            <w:r>
              <w:rPr>
                <w:sz w:val="18"/>
              </w:rPr>
              <w:t>長安責任保險（2023Q3 充足率 −132%、淨資產 −8.6 億，連續多季不披露，2025 年密集限消令、裁撤 13 家分公司）；百年人壽（大連國資入股但連續兩年不披露、280 億關聯交易曝光）；富德生命（2021Q4 起不披露四年以上）；前海人壽、珠江人壽（2024 起不披露）；中融人壽（2022 年淨資產 −41 億後資訊中斷）；渤海人壽、渤海財險、都邦財險、安心財險（充足率曾為 −884.85%）狀態不明；君康人壽（2025-12 傳富澤人壽接盤）；北大方正人壽與幸福人壽 2026Q1 綜合仍低於 120%</w:t>
            </w:r>
          </w:p>
        </w:tc>
        <w:tc>
          <w:tcPr>
            <w:tcW w:type="dxa" w:w="3324"/>
          </w:tcPr>
          <w:p>
            <w:r>
              <w:rPr>
                <w:sz w:val="18"/>
              </w:rPr>
            </w:r>
            <w:r>
              <w:rPr>
                <w:b/>
                <w:sz w:val="18"/>
              </w:rPr>
              <w:t>這批公司不在官方「不達標」統計裡</w:t>
            </w:r>
            <w:r>
              <w:rPr>
                <w:sz w:val="18"/>
              </w:rPr>
              <w:t>，因為沒披露就沒法統計。「不達標家數下降」不等於風險消失</w:t>
            </w:r>
          </w:p>
        </w:tc>
      </w:tr>
    </w:tbl>
    <w:p/>
    <w:p>
      <w:r>
        <w:t>三個規律：</w:t>
      </w:r>
    </w:p>
    <w:p>
      <w:pPr>
        <w:pStyle w:val="ListBullet"/>
      </w:pPr>
      <w:r>
        <w:t>出事的根源幾乎都是</w:t>
      </w:r>
      <w:r>
        <w:rPr>
          <w:b/>
        </w:rPr>
        <w:t>股東</w:t>
      </w:r>
      <w:r>
        <w:t>：明天系、安邦、萬達、中植、寶能、忠旺、海航、信達；業務激進（萬能險衝規模）與關聯交易是共同手法。償付能力指標是結果，不是原因。</w:t>
      </w:r>
    </w:p>
    <w:p>
      <w:pPr>
        <w:pStyle w:val="ListBullet"/>
      </w:pPr>
      <w:r>
        <w:t>處置路徑已經標準化：接管→保險保障基金與國有資本設新公司承接→原公司清算。瑞眾（565 億註冊資本，保障基金出資 226 億）、中匯（332 億）、海港（承接恒大人壽）是三個範本。</w:t>
      </w:r>
    </w:p>
    <w:p>
      <w:pPr>
        <w:pStyle w:val="ListBullet"/>
      </w:pPr>
      <w:r>
        <w:t>2022 年末保險保障基金餘額 2,033 億元，已承接三家大型問題壽險，餘額能否再承接下一批，是行業安全網的關鍵未知數（2025～2026 年餘額未找到）。</w:t>
      </w:r>
    </w:p>
    <w:p>
      <w:pPr>
        <w:pStyle w:val="Heading2"/>
      </w:pPr>
      <w:r>
        <w:t>第三章　中國保險資金的投資與資產概況</w:t>
      </w:r>
    </w:p>
    <w:p>
      <w:pPr>
        <w:pStyle w:val="Heading3"/>
      </w:pPr>
      <w:r>
        <w:t>一、規模與結構</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8"/>
              </w:rPr>
            </w:r>
            <w:r>
              <w:rPr>
                <w:b/>
                <w:sz w:val="18"/>
              </w:rPr>
              <w:t>年末</w:t>
            </w:r>
          </w:p>
        </w:tc>
        <w:tc>
          <w:tcPr>
            <w:tcW w:type="dxa" w:w="1425"/>
          </w:tcPr>
          <w:p>
            <w:r>
              <w:rPr>
                <w:b/>
                <w:sz w:val="18"/>
              </w:rPr>
            </w:r>
            <w:r>
              <w:rPr>
                <w:b/>
                <w:sz w:val="18"/>
              </w:rPr>
              <w:t>資金運用餘額</w:t>
            </w:r>
          </w:p>
        </w:tc>
        <w:tc>
          <w:tcPr>
            <w:tcW w:type="dxa" w:w="1425"/>
          </w:tcPr>
          <w:p>
            <w:r>
              <w:rPr>
                <w:b/>
                <w:sz w:val="18"/>
              </w:rPr>
            </w:r>
            <w:r>
              <w:rPr>
                <w:b/>
                <w:sz w:val="18"/>
              </w:rPr>
              <w:t>銀行存款</w:t>
            </w:r>
          </w:p>
        </w:tc>
        <w:tc>
          <w:tcPr>
            <w:tcW w:type="dxa" w:w="1425"/>
          </w:tcPr>
          <w:p>
            <w:r>
              <w:rPr>
                <w:b/>
                <w:sz w:val="18"/>
              </w:rPr>
            </w:r>
            <w:r>
              <w:rPr>
                <w:b/>
                <w:sz w:val="18"/>
              </w:rPr>
              <w:t>債券</w:t>
            </w:r>
          </w:p>
        </w:tc>
        <w:tc>
          <w:tcPr>
            <w:tcW w:type="dxa" w:w="1425"/>
          </w:tcPr>
          <w:p>
            <w:r>
              <w:rPr>
                <w:b/>
                <w:sz w:val="18"/>
              </w:rPr>
            </w:r>
            <w:r>
              <w:rPr>
                <w:b/>
                <w:sz w:val="18"/>
              </w:rPr>
              <w:t>股票</w:t>
            </w:r>
          </w:p>
        </w:tc>
        <w:tc>
          <w:tcPr>
            <w:tcW w:type="dxa" w:w="1425"/>
          </w:tcPr>
          <w:p>
            <w:r>
              <w:rPr>
                <w:b/>
                <w:sz w:val="18"/>
              </w:rPr>
            </w:r>
            <w:r>
              <w:rPr>
                <w:b/>
                <w:sz w:val="18"/>
              </w:rPr>
              <w:t>基金</w:t>
            </w:r>
          </w:p>
        </w:tc>
        <w:tc>
          <w:tcPr>
            <w:tcW w:type="dxa" w:w="1425"/>
          </w:tcPr>
          <w:p>
            <w:r>
              <w:rPr>
                <w:b/>
                <w:sz w:val="18"/>
              </w:rPr>
            </w:r>
            <w:r>
              <w:rPr>
                <w:b/>
                <w:sz w:val="18"/>
              </w:rPr>
              <w:t>股票 + 基金</w:t>
            </w:r>
          </w:p>
        </w:tc>
      </w:tr>
      <w:tr>
        <w:tc>
          <w:tcPr>
            <w:tcW w:type="dxa" w:w="1425"/>
          </w:tcPr>
          <w:p>
            <w:r>
              <w:rPr>
                <w:sz w:val="18"/>
              </w:rPr>
            </w:r>
            <w:r>
              <w:rPr>
                <w:sz w:val="18"/>
              </w:rPr>
              <w:t>2019</w:t>
            </w:r>
          </w:p>
        </w:tc>
        <w:tc>
          <w:tcPr>
            <w:tcW w:type="dxa" w:w="1425"/>
          </w:tcPr>
          <w:p>
            <w:r>
              <w:rPr>
                <w:sz w:val="18"/>
              </w:rPr>
            </w:r>
            <w:r>
              <w:rPr>
                <w:sz w:val="18"/>
              </w:rPr>
              <w:t>18.5 萬億</w:t>
            </w:r>
          </w:p>
        </w:tc>
        <w:tc>
          <w:tcPr>
            <w:tcW w:type="dxa" w:w="1425"/>
          </w:tcPr>
          <w:p>
            <w:r>
              <w:rPr>
                <w:sz w:val="18"/>
              </w:rPr>
            </w:r>
            <w:r>
              <w:rPr>
                <w:sz w:val="18"/>
              </w:rPr>
              <w:t>13.6%</w:t>
            </w:r>
          </w:p>
        </w:tc>
        <w:tc>
          <w:tcPr>
            <w:tcW w:type="dxa" w:w="1425"/>
          </w:tcPr>
          <w:p>
            <w:r>
              <w:rPr>
                <w:sz w:val="18"/>
              </w:rPr>
            </w:r>
            <w:r>
              <w:rPr>
                <w:sz w:val="18"/>
              </w:rPr>
              <w:t>34.6%</w:t>
            </w:r>
          </w:p>
        </w:tc>
        <w:tc>
          <w:tcPr>
            <w:tcW w:type="dxa" w:w="1425"/>
          </w:tcPr>
          <w:p>
            <w:r>
              <w:rPr>
                <w:sz w:val="18"/>
              </w:rPr>
            </w:r>
            <w:r>
              <w:rPr>
                <w:sz w:val="18"/>
              </w:rPr>
              <w:t>—</w:t>
            </w:r>
          </w:p>
        </w:tc>
        <w:tc>
          <w:tcPr>
            <w:tcW w:type="dxa" w:w="1425"/>
          </w:tcPr>
          <w:p>
            <w:r>
              <w:rPr>
                <w:sz w:val="18"/>
              </w:rPr>
            </w:r>
            <w:r>
              <w:rPr>
                <w:sz w:val="18"/>
              </w:rPr>
              <w:t>—</w:t>
            </w:r>
          </w:p>
        </w:tc>
        <w:tc>
          <w:tcPr>
            <w:tcW w:type="dxa" w:w="1425"/>
          </w:tcPr>
          <w:p>
            <w:r>
              <w:rPr>
                <w:sz w:val="18"/>
              </w:rPr>
            </w:r>
            <w:r>
              <w:rPr>
                <w:sz w:val="18"/>
              </w:rPr>
              <w:t>13.2%</w:t>
            </w:r>
          </w:p>
        </w:tc>
      </w:tr>
      <w:tr>
        <w:tc>
          <w:tcPr>
            <w:tcW w:type="dxa" w:w="1425"/>
          </w:tcPr>
          <w:p>
            <w:r>
              <w:rPr>
                <w:sz w:val="18"/>
              </w:rPr>
            </w:r>
            <w:r>
              <w:rPr>
                <w:sz w:val="18"/>
              </w:rPr>
              <w:t>2020</w:t>
            </w:r>
          </w:p>
        </w:tc>
        <w:tc>
          <w:tcPr>
            <w:tcW w:type="dxa" w:w="1425"/>
          </w:tcPr>
          <w:p>
            <w:r>
              <w:rPr>
                <w:sz w:val="18"/>
              </w:rPr>
            </w:r>
            <w:r>
              <w:rPr>
                <w:sz w:val="18"/>
              </w:rPr>
              <w:t>21.7 萬億</w:t>
            </w:r>
          </w:p>
        </w:tc>
        <w:tc>
          <w:tcPr>
            <w:tcW w:type="dxa" w:w="1425"/>
          </w:tcPr>
          <w:p>
            <w:r>
              <w:rPr>
                <w:sz w:val="18"/>
              </w:rPr>
            </w:r>
            <w:r>
              <w:rPr>
                <w:sz w:val="18"/>
              </w:rPr>
              <w:t>12.0%</w:t>
            </w:r>
          </w:p>
        </w:tc>
        <w:tc>
          <w:tcPr>
            <w:tcW w:type="dxa" w:w="1425"/>
          </w:tcPr>
          <w:p>
            <w:r>
              <w:rPr>
                <w:sz w:val="18"/>
              </w:rPr>
            </w:r>
            <w:r>
              <w:rPr>
                <w:sz w:val="18"/>
              </w:rPr>
              <w:t>36.6%</w:t>
            </w:r>
          </w:p>
        </w:tc>
        <w:tc>
          <w:tcPr>
            <w:tcW w:type="dxa" w:w="1425"/>
          </w:tcPr>
          <w:p>
            <w:r>
              <w:rPr>
                <w:sz w:val="18"/>
              </w:rPr>
            </w:r>
            <w:r>
              <w:rPr>
                <w:sz w:val="18"/>
              </w:rPr>
              <w:t>8.7%</w:t>
            </w:r>
          </w:p>
        </w:tc>
        <w:tc>
          <w:tcPr>
            <w:tcW w:type="dxa" w:w="1425"/>
          </w:tcPr>
          <w:p>
            <w:r>
              <w:rPr>
                <w:sz w:val="18"/>
              </w:rPr>
            </w:r>
            <w:r>
              <w:rPr>
                <w:sz w:val="18"/>
              </w:rPr>
              <w:t>—</w:t>
            </w:r>
          </w:p>
        </w:tc>
        <w:tc>
          <w:tcPr>
            <w:tcW w:type="dxa" w:w="1425"/>
          </w:tcPr>
          <w:p>
            <w:r>
              <w:rPr>
                <w:sz w:val="18"/>
              </w:rPr>
            </w:r>
            <w:r>
              <w:rPr>
                <w:sz w:val="18"/>
              </w:rPr>
              <w:t>—</w:t>
            </w:r>
          </w:p>
        </w:tc>
      </w:tr>
      <w:tr>
        <w:tc>
          <w:tcPr>
            <w:tcW w:type="dxa" w:w="1425"/>
          </w:tcPr>
          <w:p>
            <w:r>
              <w:rPr>
                <w:sz w:val="18"/>
              </w:rPr>
            </w:r>
            <w:r>
              <w:rPr>
                <w:sz w:val="18"/>
              </w:rPr>
              <w:t>2022</w:t>
            </w:r>
          </w:p>
        </w:tc>
        <w:tc>
          <w:tcPr>
            <w:tcW w:type="dxa" w:w="1425"/>
          </w:tcPr>
          <w:p>
            <w:r>
              <w:rPr>
                <w:sz w:val="18"/>
              </w:rPr>
            </w:r>
            <w:r>
              <w:rPr>
                <w:sz w:val="18"/>
              </w:rPr>
              <w:t>約 22.4 萬億</w:t>
            </w:r>
          </w:p>
        </w:tc>
        <w:tc>
          <w:tcPr>
            <w:tcW w:type="dxa" w:w="1425"/>
          </w:tcPr>
          <w:p>
            <w:r>
              <w:rPr>
                <w:sz w:val="18"/>
              </w:rPr>
            </w:r>
            <w:r>
              <w:rPr>
                <w:sz w:val="18"/>
              </w:rPr>
              <w:t>8.5%</w:t>
            </w:r>
          </w:p>
        </w:tc>
        <w:tc>
          <w:tcPr>
            <w:tcW w:type="dxa" w:w="1425"/>
          </w:tcPr>
          <w:p>
            <w:r>
              <w:rPr>
                <w:sz w:val="18"/>
              </w:rPr>
            </w:r>
            <w:r>
              <w:rPr>
                <w:sz w:val="18"/>
              </w:rPr>
              <w:t>42.2%</w:t>
            </w:r>
          </w:p>
        </w:tc>
        <w:tc>
          <w:tcPr>
            <w:tcW w:type="dxa" w:w="1425"/>
          </w:tcPr>
          <w:p>
            <w:r>
              <w:rPr>
                <w:sz w:val="18"/>
              </w:rPr>
            </w:r>
            <w:r>
              <w:rPr>
                <w:sz w:val="18"/>
              </w:rPr>
              <w:t>7.5%</w:t>
            </w:r>
          </w:p>
        </w:tc>
        <w:tc>
          <w:tcPr>
            <w:tcW w:type="dxa" w:w="1425"/>
          </w:tcPr>
          <w:p>
            <w:r>
              <w:rPr>
                <w:sz w:val="18"/>
              </w:rPr>
            </w:r>
            <w:r>
              <w:rPr>
                <w:sz w:val="18"/>
              </w:rPr>
              <w:t>5.4%</w:t>
            </w:r>
          </w:p>
        </w:tc>
        <w:tc>
          <w:tcPr>
            <w:tcW w:type="dxa" w:w="1425"/>
          </w:tcPr>
          <w:p>
            <w:r>
              <w:rPr>
                <w:sz w:val="18"/>
              </w:rPr>
            </w:r>
            <w:r>
              <w:rPr>
                <w:sz w:val="18"/>
              </w:rPr>
              <w:t>12.9%</w:t>
            </w:r>
          </w:p>
        </w:tc>
      </w:tr>
      <w:tr>
        <w:tc>
          <w:tcPr>
            <w:tcW w:type="dxa" w:w="1425"/>
          </w:tcPr>
          <w:p>
            <w:r>
              <w:rPr>
                <w:sz w:val="18"/>
              </w:rPr>
            </w:r>
            <w:r>
              <w:rPr>
                <w:sz w:val="18"/>
              </w:rPr>
              <w:t>2023</w:t>
            </w:r>
          </w:p>
        </w:tc>
        <w:tc>
          <w:tcPr>
            <w:tcW w:type="dxa" w:w="1425"/>
          </w:tcPr>
          <w:p>
            <w:r>
              <w:rPr>
                <w:sz w:val="18"/>
              </w:rPr>
            </w:r>
            <w:r>
              <w:rPr>
                <w:sz w:val="18"/>
              </w:rPr>
              <w:t>27.7 萬億</w:t>
            </w:r>
          </w:p>
        </w:tc>
        <w:tc>
          <w:tcPr>
            <w:tcW w:type="dxa" w:w="1425"/>
          </w:tcPr>
          <w:p>
            <w:r>
              <w:rPr>
                <w:sz w:val="18"/>
              </w:rPr>
            </w:r>
            <w:r>
              <w:rPr>
                <w:sz w:val="18"/>
              </w:rPr>
              <w:t>9.8%</w:t>
            </w:r>
          </w:p>
        </w:tc>
        <w:tc>
          <w:tcPr>
            <w:tcW w:type="dxa" w:w="1425"/>
          </w:tcPr>
          <w:p>
            <w:r>
              <w:rPr>
                <w:sz w:val="18"/>
              </w:rPr>
            </w:r>
            <w:r>
              <w:rPr>
                <w:sz w:val="18"/>
              </w:rPr>
              <w:t>45.4%</w:t>
            </w:r>
          </w:p>
        </w:tc>
        <w:tc>
          <w:tcPr>
            <w:tcW w:type="dxa" w:w="1425"/>
          </w:tcPr>
          <w:p>
            <w:r>
              <w:rPr>
                <w:sz w:val="18"/>
              </w:rPr>
            </w:r>
            <w:r>
              <w:rPr>
                <w:sz w:val="18"/>
              </w:rPr>
              <w:t>—</w:t>
            </w:r>
          </w:p>
        </w:tc>
        <w:tc>
          <w:tcPr>
            <w:tcW w:type="dxa" w:w="1425"/>
          </w:tcPr>
          <w:p>
            <w:r>
              <w:rPr>
                <w:sz w:val="18"/>
              </w:rPr>
            </w:r>
            <w:r>
              <w:rPr>
                <w:sz w:val="18"/>
              </w:rPr>
              <w:t>—</w:t>
            </w:r>
          </w:p>
        </w:tc>
        <w:tc>
          <w:tcPr>
            <w:tcW w:type="dxa" w:w="1425"/>
          </w:tcPr>
          <w:p>
            <w:r>
              <w:rPr>
                <w:sz w:val="18"/>
              </w:rPr>
            </w:r>
            <w:r>
              <w:rPr>
                <w:sz w:val="18"/>
              </w:rPr>
              <w:t>12.0%</w:t>
            </w:r>
          </w:p>
        </w:tc>
      </w:tr>
      <w:tr>
        <w:tc>
          <w:tcPr>
            <w:tcW w:type="dxa" w:w="1425"/>
          </w:tcPr>
          <w:p>
            <w:r>
              <w:rPr>
                <w:sz w:val="18"/>
              </w:rPr>
            </w:r>
            <w:r>
              <w:rPr>
                <w:sz w:val="18"/>
              </w:rPr>
              <w:t>2024（人身險）</w:t>
            </w:r>
          </w:p>
        </w:tc>
        <w:tc>
          <w:tcPr>
            <w:tcW w:type="dxa" w:w="1425"/>
          </w:tcPr>
          <w:p>
            <w:r>
              <w:rPr>
                <w:sz w:val="18"/>
              </w:rPr>
            </w:r>
            <w:r>
              <w:rPr>
                <w:sz w:val="18"/>
              </w:rPr>
              <w:t>33.3 萬億（全行業）</w:t>
            </w:r>
          </w:p>
        </w:tc>
        <w:tc>
          <w:tcPr>
            <w:tcW w:type="dxa" w:w="1425"/>
          </w:tcPr>
          <w:p>
            <w:r>
              <w:rPr>
                <w:sz w:val="18"/>
              </w:rPr>
            </w:r>
            <w:r>
              <w:rPr>
                <w:sz w:val="18"/>
              </w:rPr>
              <w:t>8.4%</w:t>
            </w:r>
          </w:p>
        </w:tc>
        <w:tc>
          <w:tcPr>
            <w:tcW w:type="dxa" w:w="1425"/>
          </w:tcPr>
          <w:p>
            <w:r>
              <w:rPr>
                <w:sz w:val="18"/>
              </w:rPr>
            </w:r>
            <w:r>
              <w:rPr>
                <w:sz w:val="18"/>
              </w:rPr>
              <w:t>50.3%</w:t>
            </w:r>
          </w:p>
        </w:tc>
        <w:tc>
          <w:tcPr>
            <w:tcW w:type="dxa" w:w="1425"/>
          </w:tcPr>
          <w:p>
            <w:r>
              <w:rPr>
                <w:sz w:val="18"/>
              </w:rPr>
            </w:r>
            <w:r>
              <w:rPr>
                <w:sz w:val="18"/>
              </w:rPr>
              <w:t>7.6%</w:t>
            </w:r>
          </w:p>
        </w:tc>
        <w:tc>
          <w:tcPr>
            <w:tcW w:type="dxa" w:w="1425"/>
          </w:tcPr>
          <w:p>
            <w:r>
              <w:rPr>
                <w:sz w:val="18"/>
              </w:rPr>
            </w:r>
            <w:r>
              <w:rPr>
                <w:sz w:val="18"/>
              </w:rPr>
              <w:t>4.9%</w:t>
            </w:r>
          </w:p>
        </w:tc>
        <w:tc>
          <w:tcPr>
            <w:tcW w:type="dxa" w:w="1425"/>
          </w:tcPr>
          <w:p>
            <w:r>
              <w:rPr>
                <w:sz w:val="18"/>
              </w:rPr>
            </w:r>
            <w:r>
              <w:rPr>
                <w:sz w:val="18"/>
              </w:rPr>
              <w:t>13.2%（全行業）</w:t>
            </w:r>
          </w:p>
        </w:tc>
      </w:tr>
      <w:tr>
        <w:tc>
          <w:tcPr>
            <w:tcW w:type="dxa" w:w="1425"/>
          </w:tcPr>
          <w:p>
            <w:r>
              <w:rPr>
                <w:sz w:val="18"/>
              </w:rPr>
            </w:r>
            <w:r>
              <w:rPr>
                <w:sz w:val="18"/>
              </w:rPr>
              <w:t>2025（人身險）</w:t>
            </w:r>
          </w:p>
        </w:tc>
        <w:tc>
          <w:tcPr>
            <w:tcW w:type="dxa" w:w="1425"/>
          </w:tcPr>
          <w:p>
            <w:r>
              <w:rPr>
                <w:sz w:val="18"/>
              </w:rPr>
            </w:r>
            <w:r>
              <w:rPr>
                <w:sz w:val="18"/>
              </w:rPr>
              <w:t>38.5 萬億（全行業；人身險 34.7、財險 2.4）</w:t>
            </w:r>
          </w:p>
        </w:tc>
        <w:tc>
          <w:tcPr>
            <w:tcW w:type="dxa" w:w="1425"/>
          </w:tcPr>
          <w:p>
            <w:r>
              <w:rPr>
                <w:sz w:val="18"/>
              </w:rPr>
            </w:r>
            <w:r>
              <w:rPr>
                <w:sz w:val="18"/>
              </w:rPr>
              <w:t>—</w:t>
            </w:r>
          </w:p>
        </w:tc>
        <w:tc>
          <w:tcPr>
            <w:tcW w:type="dxa" w:w="1425"/>
          </w:tcPr>
          <w:p>
            <w:r>
              <w:rPr>
                <w:sz w:val="18"/>
              </w:rPr>
            </w:r>
            <w:r>
              <w:rPr>
                <w:sz w:val="18"/>
              </w:rPr>
              <w:t>51.1%</w:t>
            </w:r>
          </w:p>
        </w:tc>
        <w:tc>
          <w:tcPr>
            <w:tcW w:type="dxa" w:w="1425"/>
          </w:tcPr>
          <w:p>
            <w:r>
              <w:rPr>
                <w:sz w:val="18"/>
              </w:rPr>
            </w:r>
            <w:r>
              <w:rPr>
                <w:sz w:val="18"/>
              </w:rPr>
              <w:t>10.1%</w:t>
            </w:r>
          </w:p>
        </w:tc>
        <w:tc>
          <w:tcPr>
            <w:tcW w:type="dxa" w:w="1425"/>
          </w:tcPr>
          <w:p>
            <w:r>
              <w:rPr>
                <w:sz w:val="18"/>
              </w:rPr>
            </w:r>
            <w:r>
              <w:rPr>
                <w:sz w:val="18"/>
              </w:rPr>
              <w:t>5.1%</w:t>
            </w:r>
          </w:p>
        </w:tc>
        <w:tc>
          <w:tcPr>
            <w:tcW w:type="dxa" w:w="1425"/>
          </w:tcPr>
          <w:p>
            <w:r>
              <w:rPr>
                <w:sz w:val="18"/>
              </w:rPr>
            </w:r>
            <w:r>
              <w:rPr>
                <w:sz w:val="18"/>
              </w:rPr>
              <w:t>全行業 5.7 萬億，股票占比創四年新高</w:t>
            </w:r>
          </w:p>
        </w:tc>
      </w:tr>
    </w:tbl>
    <w:p/>
    <w:p>
      <w:r>
        <w:t>五年結構變化的白話版：存款從 14% 砍到 8%，債券從 35% 加到 51%，股票從 8% 加到 10%，非標（「其他投資」）從三成多壓到兩成出頭。方向是「去非標、加長債、加股票」。</w:t>
      </w:r>
    </w:p>
    <w:p>
      <w:pPr>
        <w:pStyle w:val="Heading3"/>
      </w:pPr>
      <w:r>
        <w:t>二、收益率</w:t>
      </w:r>
    </w:p>
    <w:p>
      <w:pPr>
        <w:pStyle w:val="ListBullet"/>
      </w:pPr>
      <w:r>
        <w:t>行業：2023 年財務投資收益率 2.23%；2024 年 3.43%，綜合投資收益率 7.21%（人身險 7.45%）。財務與綜合差 4 個百分點，是因為浮盈大量記在其他綜合收益（OCI）而不進損益。</w:t>
      </w:r>
    </w:p>
    <w:p>
      <w:pPr>
        <w:pStyle w:val="ListBullet"/>
      </w:pPr>
      <w:r>
        <w:t>上市五家 2025 年總投資收益率：新華 6.6%（行業第一）、平安 6.3%、國壽 6.09%；2026 年上半年新華年化 6.7%、人保 3.7%（非年化）、太保 2.4%（非年化）、平安綜合 2.1%（非年化）。年化與非年化混用，橫向比較要小心。</w:t>
      </w:r>
    </w:p>
    <w:p>
      <w:pPr>
        <w:pStyle w:val="ListBullet"/>
      </w:pPr>
      <w:r>
        <w:t>負債成本：人保壽險 2024 年末 3.20%（歷史最低）；行業只有 13 家壽險近三年平均綜合投資收益率超過 5%。收益率若回到 2023 年的 2.2% 水準，多數公司投資收益蓋不住存量 3.5% 以上保單的成本。這就是利差損。</w:t>
      </w:r>
    </w:p>
    <w:p>
      <w:pPr>
        <w:pStyle w:val="Heading3"/>
      </w:pPr>
      <w:r>
        <w:t>三、久期缺口：全世界最大的錯配之一</w:t>
      </w:r>
    </w:p>
    <w:p>
      <w:r>
        <w:t>人身險負債久期 12～13 年，資產久期約 6 年，缺口 6.3～7 年；法國 4 年、義大利 2 年、美韓 1 年、英國 0。利率每下一步，負債現值增加得比資產快，這是償付能力持續失血的機械原因。險企因此成為 20、30、50 年期超長期特別國債的「主要承接主體」（2026 年計畫 23 期、1.3 萬億）。</w:t>
      </w:r>
    </w:p>
    <w:p>
      <w:pPr>
        <w:pStyle w:val="Heading3"/>
      </w:pPr>
      <w:r>
        <w:t>四、權益策略：高股息、OCI、舉牌、長期試點</w:t>
      </w:r>
    </w:p>
    <w:p>
      <w:pPr>
        <w:pStyle w:val="ListBullet"/>
      </w:pPr>
      <w:r>
        <w:t>五大上市險企 OCI 股票 2024 年末 5,014 億，一年淨增 2,427 億；新華 OCI 高股息從 54 億增到 306 億（+471%）。人保 OCI 股票 2024 年收益率 36.3%。</w:t>
      </w:r>
    </w:p>
    <w:p>
      <w:pPr>
        <w:pStyle w:val="ListBullet"/>
      </w:pPr>
      <w:r>
        <w:t>舉牌：2024 年 20 次、2025 年 35 次（創新高，銀行股占四成）、2026 年到 8 月只有 6 次（降速，轉向精挑細選與硬科技）。</w:t>
      </w:r>
    </w:p>
    <w:p>
      <w:pPr>
        <w:pStyle w:val="ListBullet"/>
      </w:pPr>
      <w:r>
        <w:t>長期股票投資試點三批 1,620 億（鴻鵠基金 500 億、第二批 520 億、第三批 600 億；第三批批復時間兩種說法）。</w:t>
      </w:r>
    </w:p>
    <w:p>
      <w:pPr>
        <w:pStyle w:val="ListBullet"/>
      </w:pPr>
      <w:r>
        <w:t>2025 年 4 月權益類資產上限按償付能力分檔，最高檔由 45% 提到 50%。</w:t>
      </w:r>
    </w:p>
    <w:p>
      <w:pPr>
        <w:pStyle w:val="ListBullet"/>
      </w:pPr>
      <w:r>
        <w:t>2023 年 REITs 風險因子由 0.6 降到 0.5，2024 年新發 REITs 險資認購約 700 億。</w:t>
      </w:r>
    </w:p>
    <w:p>
      <w:pPr>
        <w:pStyle w:val="Heading3"/>
      </w:pPr>
      <w:r>
        <w:t>五、敞口與風險點</w:t>
      </w:r>
    </w:p>
    <w:p>
      <w:pPr>
        <w:pStyle w:val="ListBullet"/>
      </w:pPr>
      <w:r>
        <w:t>非標：上市險企非標收益率已降到 4.5% 左右；監管口徑「其他投資」占比 21.6%（2024Q3）；絕對規模未找到。</w:t>
      </w:r>
    </w:p>
    <w:p>
      <w:pPr>
        <w:pStyle w:val="ListBullet"/>
      </w:pPr>
      <w:r>
        <w:t>不動產：行業合計規模未找到；養老社區見第五章。</w:t>
      </w:r>
    </w:p>
    <w:p>
      <w:pPr>
        <w:pStyle w:val="ListBullet"/>
      </w:pPr>
      <w:r>
        <w:t>城投與地方債：持倉規模未找到；定性上是險資重要配置品種。</w:t>
      </w:r>
    </w:p>
    <w:p>
      <w:pPr>
        <w:pStyle w:val="ListBullet"/>
      </w:pPr>
      <w:r>
        <w:t>踩雷：恒大、華夏幸福、寶能系（前海人壽 2022Q1 保費年減 78.5%、淨虧 23 億）；險資具體減值金額未找到。</w:t>
      </w:r>
    </w:p>
    <w:p>
      <w:pPr>
        <w:pStyle w:val="ListBullet"/>
      </w:pPr>
      <w:r>
        <w:t>新準則：FVTPL 資產占比 2023 年四家在 23.6%～30.1%；新華 2024Q3 淨利 +117% 但淨資產 −13.4%；中郵人壽單季盈利 108 億但淨資產減 54 億。利潤與淨資產脫鉤是新常態。</w:t>
      </w:r>
    </w:p>
    <w:p>
      <w:pPr>
        <w:pStyle w:val="ListBullet"/>
      </w:pPr>
      <w:r>
        <w:t>境外：2024 年末 761 億美元、占總資產 1.59%，其中香港占 51%；上限 15%。詳見第六章。</w:t>
      </w:r>
    </w:p>
    <w:p>
      <w:pPr>
        <w:pStyle w:val="Heading3"/>
      </w:pPr>
      <w:r>
        <w:t>六、資產荒的官方語言</w:t>
      </w:r>
    </w:p>
    <w:p>
      <w:r>
        <w:t>保險資管協會對 2025 年的建議是「基礎配置做穩，風險資產做優」：固收繼續配超長利率債，權益保持合理倉位，另類穩住非標存量、轉向股權與 ABS。2025 年股票加基金一年淨增 1.6 萬億（+39%），是這句話的落地。2026 年舉牌降速，是「入市 2.0」的邊際變化。</w:t>
      </w:r>
    </w:p>
    <w:p>
      <w:pPr>
        <w:pStyle w:val="Heading2"/>
      </w:pPr>
      <w:r>
        <w:t>第四章　中國版 RBC 的計算邏輯與歷次演變</w:t>
      </w:r>
    </w:p>
    <w:p>
      <w:pPr>
        <w:pStyle w:val="Heading3"/>
      </w:pPr>
      <w:r>
        <w:t>一、白話版：三個數字、三條線</w:t>
      </w:r>
    </w:p>
    <w:p>
      <w:pPr>
        <w:pStyle w:val="ListBullet"/>
      </w:pPr>
      <w:r>
        <w:rPr>
          <w:b/>
        </w:rPr>
        <w:t>實際資本</w:t>
      </w:r>
      <w:r>
        <w:t xml:space="preserve"> = 認可資產 − 認可負債。分成核心資本（持續經營與清算都能吸收損失）與附屬資本（只有清算時才能吸收，例如永續債、資本補充債）。</w:t>
      </w:r>
    </w:p>
    <w:p>
      <w:pPr>
        <w:pStyle w:val="ListBullet"/>
      </w:pPr>
      <w:r>
        <w:rPr>
          <w:b/>
        </w:rPr>
        <w:t>最低資本</w:t>
      </w:r>
      <w:r>
        <w:t xml:space="preserve"> = 監管要求你為承擔的風險備的錢。按保險風險、市場風險、信用風險分別算，再用相關係數矩陣加總，再加控制風險與附加資本。</w:t>
      </w:r>
    </w:p>
    <w:p>
      <w:pPr>
        <w:pStyle w:val="ListBullet"/>
      </w:pPr>
      <w:r>
        <w:rPr>
          <w:b/>
        </w:rPr>
        <w:t>核心償付能力充足率</w:t>
      </w:r>
      <w:r>
        <w:t xml:space="preserve"> = 核心資本 ÷ 最低資本，監管線 50%。</w:t>
      </w:r>
    </w:p>
    <w:p>
      <w:pPr>
        <w:pStyle w:val="ListBullet"/>
      </w:pPr>
      <w:r>
        <w:rPr>
          <w:b/>
        </w:rPr>
        <w:t>綜合償付能力充足率</w:t>
      </w:r>
      <w:r>
        <w:t xml:space="preserve"> = 實際資本 ÷ 最低資本，監管線 100%。</w:t>
      </w:r>
    </w:p>
    <w:p>
      <w:pPr>
        <w:pStyle w:val="ListBullet"/>
      </w:pPr>
      <w:r>
        <w:t>第三條線：風險綜合評級 B 類以上。三條同時達標才算達標。</w:t>
      </w:r>
    </w:p>
    <w:p>
      <w:pPr>
        <w:pStyle w:val="ListBullet"/>
      </w:pPr>
      <w:r>
        <w:t>監管關注線：綜合低於 120% 列入重點核查。</w:t>
      </w:r>
    </w:p>
    <w:p>
      <w:pPr>
        <w:pStyle w:val="Heading3"/>
      </w:pPr>
      <w:r>
        <w:t>二、實際資本怎麼認定（償二代二期）</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限額</w:t>
            </w:r>
          </w:p>
        </w:tc>
        <w:tc>
          <w:tcPr>
            <w:tcW w:type="dxa" w:w="4986"/>
          </w:tcPr>
          <w:p>
            <w:r>
              <w:rPr>
                <w:b/>
                <w:sz w:val="18"/>
              </w:rPr>
            </w:r>
            <w:r>
              <w:rPr>
                <w:b/>
                <w:sz w:val="18"/>
              </w:rPr>
              <w:t>規則</w:t>
            </w:r>
          </w:p>
        </w:tc>
      </w:tr>
      <w:tr>
        <w:tc>
          <w:tcPr>
            <w:tcW w:type="dxa" w:w="4986"/>
          </w:tcPr>
          <w:p>
            <w:r>
              <w:rPr>
                <w:sz w:val="18"/>
              </w:rPr>
            </w:r>
            <w:r>
              <w:rPr>
                <w:sz w:val="18"/>
              </w:rPr>
              <w:t>附屬資本</w:t>
            </w:r>
          </w:p>
        </w:tc>
        <w:tc>
          <w:tcPr>
            <w:tcW w:type="dxa" w:w="4986"/>
          </w:tcPr>
          <w:p>
            <w:r>
              <w:rPr>
                <w:sz w:val="18"/>
              </w:rPr>
            </w:r>
            <w:r>
              <w:rPr>
                <w:sz w:val="18"/>
              </w:rPr>
              <w:t>≤ 核心資本的 100%</w:t>
            </w:r>
          </w:p>
        </w:tc>
      </w:tr>
      <w:tr>
        <w:tc>
          <w:tcPr>
            <w:tcW w:type="dxa" w:w="4986"/>
          </w:tcPr>
          <w:p>
            <w:r>
              <w:rPr>
                <w:sz w:val="18"/>
              </w:rPr>
            </w:r>
            <w:r>
              <w:rPr>
                <w:sz w:val="18"/>
              </w:rPr>
              <w:t>核心二級資本</w:t>
            </w:r>
          </w:p>
        </w:tc>
        <w:tc>
          <w:tcPr>
            <w:tcW w:type="dxa" w:w="4986"/>
          </w:tcPr>
          <w:p>
            <w:r>
              <w:rPr>
                <w:sz w:val="18"/>
              </w:rPr>
            </w:r>
            <w:r>
              <w:rPr>
                <w:sz w:val="18"/>
              </w:rPr>
              <w:t>≤ 核心資本的 30%</w:t>
            </w:r>
          </w:p>
        </w:tc>
      </w:tr>
      <w:tr>
        <w:tc>
          <w:tcPr>
            <w:tcW w:type="dxa" w:w="4986"/>
          </w:tcPr>
          <w:p>
            <w:r>
              <w:rPr>
                <w:sz w:val="18"/>
              </w:rPr>
            </w:r>
            <w:r>
              <w:rPr>
                <w:sz w:val="18"/>
              </w:rPr>
              <w:t>附屬二級資本</w:t>
            </w:r>
          </w:p>
        </w:tc>
        <w:tc>
          <w:tcPr>
            <w:tcW w:type="dxa" w:w="4986"/>
          </w:tcPr>
          <w:p>
            <w:r>
              <w:rPr>
                <w:sz w:val="18"/>
              </w:rPr>
            </w:r>
            <w:r>
              <w:rPr>
                <w:sz w:val="18"/>
              </w:rPr>
              <w:t>≤ 核心資本的 25%</w:t>
            </w:r>
          </w:p>
        </w:tc>
      </w:tr>
      <w:tr>
        <w:tc>
          <w:tcPr>
            <w:tcW w:type="dxa" w:w="4986"/>
          </w:tcPr>
          <w:p>
            <w:r>
              <w:rPr>
                <w:sz w:val="18"/>
              </w:rPr>
            </w:r>
            <w:r>
              <w:rPr>
                <w:sz w:val="18"/>
              </w:rPr>
              <w:t>保單未來盈餘計入核心資本</w:t>
            </w:r>
          </w:p>
        </w:tc>
        <w:tc>
          <w:tcPr>
            <w:tcW w:type="dxa" w:w="4986"/>
          </w:tcPr>
          <w:p>
            <w:r>
              <w:rPr>
                <w:sz w:val="18"/>
              </w:rPr>
            </w:r>
            <w:r>
              <w:rPr>
                <w:sz w:val="18"/>
              </w:rPr>
              <w:t>≤ 核心資本的 35%（2023-09 放寬到 40%，單一來源）</w:t>
            </w:r>
          </w:p>
        </w:tc>
      </w:tr>
      <w:tr>
        <w:tc>
          <w:tcPr>
            <w:tcW w:type="dxa" w:w="4986"/>
          </w:tcPr>
          <w:p>
            <w:r>
              <w:rPr>
                <w:sz w:val="18"/>
              </w:rPr>
            </w:r>
            <w:r>
              <w:rPr>
                <w:sz w:val="18"/>
              </w:rPr>
              <w:t>保單未來盈餘分級</w:t>
            </w:r>
          </w:p>
        </w:tc>
        <w:tc>
          <w:tcPr>
            <w:tcW w:type="dxa" w:w="4986"/>
          </w:tcPr>
          <w:p>
            <w:r>
              <w:rPr>
                <w:sz w:val="18"/>
              </w:rPr>
            </w:r>
            <w:r>
              <w:rPr>
                <w:sz w:val="18"/>
              </w:rPr>
              <w:t>剩餘期限 30 年以上→核心一級；10～30 年→核心二級；10 年以下→不進核心</w:t>
            </w:r>
          </w:p>
        </w:tc>
      </w:tr>
    </w:tbl>
    <w:p/>
    <w:p>
      <w:r>
        <w:t>二期最狠的一刀就在「保單未來盈餘分級」：一期時保單未來利潤可以全額算進核心資本，二期只讓長期限保單的一部分進核心，這就是 2022Q1 核心充足率單季少 70 個百分點的直接來源。</w:t>
      </w:r>
    </w:p>
    <w:p>
      <w:pPr>
        <w:pStyle w:val="Heading3"/>
      </w:pPr>
      <w:r>
        <w:t>三、最低資本怎麼算：風險因子表</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資產或風險</w:t>
            </w:r>
          </w:p>
        </w:tc>
        <w:tc>
          <w:tcPr>
            <w:tcW w:type="dxa" w:w="1994"/>
          </w:tcPr>
          <w:p>
            <w:r>
              <w:rPr>
                <w:b/>
                <w:sz w:val="18"/>
              </w:rPr>
            </w:r>
            <w:r>
              <w:rPr>
                <w:b/>
                <w:sz w:val="18"/>
              </w:rPr>
              <w:t>償二代一期</w:t>
            </w:r>
          </w:p>
        </w:tc>
        <w:tc>
          <w:tcPr>
            <w:tcW w:type="dxa" w:w="1994"/>
          </w:tcPr>
          <w:p>
            <w:r>
              <w:rPr>
                <w:b/>
                <w:sz w:val="18"/>
              </w:rPr>
            </w:r>
            <w:r>
              <w:rPr>
                <w:b/>
                <w:sz w:val="18"/>
              </w:rPr>
              <w:t>二期（2022）</w:t>
            </w:r>
          </w:p>
        </w:tc>
        <w:tc>
          <w:tcPr>
            <w:tcW w:type="dxa" w:w="1994"/>
          </w:tcPr>
          <w:p>
            <w:r>
              <w:rPr>
                <w:b/>
                <w:sz w:val="18"/>
              </w:rPr>
            </w:r>
            <w:r>
              <w:rPr>
                <w:b/>
                <w:sz w:val="18"/>
              </w:rPr>
              <w:t>2023-09 優化</w:t>
            </w:r>
          </w:p>
        </w:tc>
        <w:tc>
          <w:tcPr>
            <w:tcW w:type="dxa" w:w="1994"/>
          </w:tcPr>
          <w:p>
            <w:r>
              <w:rPr>
                <w:b/>
                <w:sz w:val="18"/>
              </w:rPr>
            </w:r>
            <w:r>
              <w:rPr>
                <w:b/>
                <w:sz w:val="18"/>
              </w:rPr>
              <w:t>2025-05</w:t>
            </w:r>
          </w:p>
        </w:tc>
      </w:tr>
      <w:tr>
        <w:tc>
          <w:tcPr>
            <w:tcW w:type="dxa" w:w="1994"/>
          </w:tcPr>
          <w:p>
            <w:r>
              <w:rPr>
                <w:sz w:val="18"/>
              </w:rPr>
            </w:r>
            <w:r>
              <w:rPr>
                <w:sz w:val="18"/>
              </w:rPr>
              <w:t>滬深 300 成分股、中證紅利低波 100 成分股（持倉滿 3 年）</w:t>
            </w:r>
          </w:p>
        </w:tc>
        <w:tc>
          <w:tcPr>
            <w:tcW w:type="dxa" w:w="1994"/>
          </w:tcPr>
          <w:p>
            <w:r>
              <w:rPr>
                <w:sz w:val="18"/>
              </w:rPr>
            </w:r>
            <w:r>
              <w:rPr>
                <w:sz w:val="18"/>
              </w:rPr>
              <w:t>較低</w:t>
            </w:r>
          </w:p>
        </w:tc>
        <w:tc>
          <w:tcPr>
            <w:tcW w:type="dxa" w:w="1994"/>
          </w:tcPr>
          <w:p>
            <w:r>
              <w:rPr>
                <w:sz w:val="18"/>
              </w:rPr>
            </w:r>
            <w:r>
              <w:rPr>
                <w:sz w:val="18"/>
              </w:rPr>
              <w:t>0.35</w:t>
            </w:r>
          </w:p>
        </w:tc>
        <w:tc>
          <w:tcPr>
            <w:tcW w:type="dxa" w:w="1994"/>
          </w:tcPr>
          <w:p>
            <w:r>
              <w:rPr>
                <w:sz w:val="18"/>
              </w:rPr>
            </w:r>
            <w:r>
              <w:rPr>
                <w:b/>
                <w:sz w:val="18"/>
              </w:rPr>
              <w:t>0.30</w:t>
            </w:r>
          </w:p>
        </w:tc>
        <w:tc>
          <w:tcPr>
            <w:tcW w:type="dxa" w:w="1994"/>
          </w:tcPr>
          <w:p>
            <w:r>
              <w:rPr>
                <w:sz w:val="18"/>
              </w:rPr>
            </w:r>
            <w:r>
              <w:rPr>
                <w:b/>
                <w:sz w:val="18"/>
              </w:rPr>
              <w:t>0.27</w:t>
            </w:r>
            <w:r>
              <w:rPr>
                <w:sz w:val="18"/>
              </w:rPr>
              <w:t>（2025-12-05 正式落地）</w:t>
            </w:r>
          </w:p>
        </w:tc>
      </w:tr>
      <w:tr>
        <w:tc>
          <w:tcPr>
            <w:tcW w:type="dxa" w:w="1994"/>
          </w:tcPr>
          <w:p>
            <w:r>
              <w:rPr>
                <w:sz w:val="18"/>
              </w:rPr>
            </w:r>
            <w:r>
              <w:rPr>
                <w:sz w:val="18"/>
              </w:rPr>
              <w:t>科創板股票（持倉滿 2 年）</w:t>
            </w:r>
          </w:p>
        </w:tc>
        <w:tc>
          <w:tcPr>
            <w:tcW w:type="dxa" w:w="1994"/>
          </w:tcPr>
          <w:p>
            <w:r>
              <w:rPr>
                <w:sz w:val="18"/>
              </w:rPr>
            </w:r>
            <w:r>
              <w:rPr>
                <w:sz w:val="18"/>
              </w:rPr>
              <w:t>—</w:t>
            </w:r>
          </w:p>
        </w:tc>
        <w:tc>
          <w:tcPr>
            <w:tcW w:type="dxa" w:w="1994"/>
          </w:tcPr>
          <w:p>
            <w:r>
              <w:rPr>
                <w:sz w:val="18"/>
              </w:rPr>
            </w:r>
            <w:r>
              <w:rPr>
                <w:sz w:val="18"/>
              </w:rPr>
              <w:t>0.45</w:t>
            </w:r>
          </w:p>
        </w:tc>
        <w:tc>
          <w:tcPr>
            <w:tcW w:type="dxa" w:w="1994"/>
          </w:tcPr>
          <w:p>
            <w:r>
              <w:rPr>
                <w:sz w:val="18"/>
              </w:rPr>
            </w:r>
            <w:r>
              <w:rPr>
                <w:b/>
                <w:sz w:val="18"/>
              </w:rPr>
              <w:t>0.40</w:t>
            </w:r>
          </w:p>
        </w:tc>
        <w:tc>
          <w:tcPr>
            <w:tcW w:type="dxa" w:w="1994"/>
          </w:tcPr>
          <w:p>
            <w:r>
              <w:rPr>
                <w:sz w:val="18"/>
              </w:rPr>
            </w:r>
            <w:r>
              <w:rPr>
                <w:b/>
                <w:sz w:val="18"/>
              </w:rPr>
              <w:t>0.36</w:t>
            </w:r>
            <w:r>
              <w:rPr>
                <w:sz w:val="18"/>
              </w:rPr>
              <w:t>（2025-12-05）</w:t>
            </w:r>
          </w:p>
        </w:tc>
      </w:tr>
      <w:tr>
        <w:tc>
          <w:tcPr>
            <w:tcW w:type="dxa" w:w="1994"/>
          </w:tcPr>
          <w:p>
            <w:r>
              <w:rPr>
                <w:sz w:val="18"/>
              </w:rPr>
            </w:r>
            <w:r>
              <w:rPr>
                <w:sz w:val="18"/>
              </w:rPr>
              <w:t>未穿透 REITs</w:t>
            </w:r>
          </w:p>
        </w:tc>
        <w:tc>
          <w:tcPr>
            <w:tcW w:type="dxa" w:w="1994"/>
          </w:tcPr>
          <w:p>
            <w:r>
              <w:rPr>
                <w:sz w:val="18"/>
              </w:rPr>
            </w:r>
            <w:r>
              <w:rPr>
                <w:sz w:val="18"/>
              </w:rPr>
              <w:t>—</w:t>
            </w:r>
          </w:p>
        </w:tc>
        <w:tc>
          <w:tcPr>
            <w:tcW w:type="dxa" w:w="1994"/>
          </w:tcPr>
          <w:p>
            <w:r>
              <w:rPr>
                <w:sz w:val="18"/>
              </w:rPr>
            </w:r>
            <w:r>
              <w:rPr>
                <w:sz w:val="18"/>
              </w:rPr>
              <w:t>0.60</w:t>
            </w:r>
          </w:p>
        </w:tc>
        <w:tc>
          <w:tcPr>
            <w:tcW w:type="dxa" w:w="1994"/>
          </w:tcPr>
          <w:p>
            <w:r>
              <w:rPr>
                <w:sz w:val="18"/>
              </w:rPr>
            </w:r>
            <w:r>
              <w:rPr>
                <w:b/>
                <w:sz w:val="18"/>
              </w:rPr>
              <w:t>0.50</w:t>
            </w:r>
          </w:p>
        </w:tc>
        <w:tc>
          <w:tcPr>
            <w:tcW w:type="dxa" w:w="1994"/>
          </w:tcPr>
          <w:p>
            <w:r>
              <w:rPr>
                <w:sz w:val="18"/>
              </w:rPr>
            </w:r>
            <w:r>
              <w:rPr>
                <w:sz w:val="18"/>
              </w:rPr>
              <w:t>—</w:t>
            </w:r>
          </w:p>
        </w:tc>
      </w:tr>
      <w:tr>
        <w:tc>
          <w:tcPr>
            <w:tcW w:type="dxa" w:w="1994"/>
          </w:tcPr>
          <w:p>
            <w:r>
              <w:rPr>
                <w:sz w:val="18"/>
              </w:rPr>
            </w:r>
            <w:r>
              <w:rPr>
                <w:sz w:val="18"/>
              </w:rPr>
              <w:t>未上市股權（一般）</w:t>
            </w:r>
          </w:p>
        </w:tc>
        <w:tc>
          <w:tcPr>
            <w:tcW w:type="dxa" w:w="1994"/>
          </w:tcPr>
          <w:p>
            <w:r>
              <w:rPr>
                <w:sz w:val="18"/>
              </w:rPr>
            </w:r>
            <w:r>
              <w:rPr>
                <w:sz w:val="18"/>
              </w:rPr>
              <w:t>0.28</w:t>
            </w:r>
          </w:p>
        </w:tc>
        <w:tc>
          <w:tcPr>
            <w:tcW w:type="dxa" w:w="1994"/>
          </w:tcPr>
          <w:p>
            <w:r>
              <w:rPr>
                <w:sz w:val="18"/>
              </w:rPr>
            </w:r>
            <w:r>
              <w:rPr>
                <w:b/>
                <w:sz w:val="18"/>
              </w:rPr>
              <w:t>0.41</w:t>
            </w:r>
          </w:p>
        </w:tc>
        <w:tc>
          <w:tcPr>
            <w:tcW w:type="dxa" w:w="1994"/>
          </w:tcPr>
          <w:p>
            <w:r>
              <w:rPr>
                <w:sz w:val="18"/>
              </w:rPr>
            </w:r>
            <w:r>
              <w:rPr>
                <w:sz w:val="18"/>
              </w:rPr>
              <w:t>—</w:t>
            </w:r>
          </w:p>
        </w:tc>
        <w:tc>
          <w:tcPr>
            <w:tcW w:type="dxa" w:w="1994"/>
          </w:tcPr>
          <w:p>
            <w:r>
              <w:rPr>
                <w:sz w:val="18"/>
              </w:rPr>
            </w:r>
            <w:r>
              <w:rPr>
                <w:sz w:val="18"/>
              </w:rPr>
              <w:t>—</w:t>
            </w:r>
          </w:p>
        </w:tc>
      </w:tr>
      <w:tr>
        <w:tc>
          <w:tcPr>
            <w:tcW w:type="dxa" w:w="1994"/>
          </w:tcPr>
          <w:p>
            <w:r>
              <w:rPr>
                <w:sz w:val="18"/>
              </w:rPr>
            </w:r>
            <w:r>
              <w:rPr>
                <w:sz w:val="18"/>
              </w:rPr>
              <w:t>與保險主業無關的子公司</w:t>
            </w:r>
          </w:p>
        </w:tc>
        <w:tc>
          <w:tcPr>
            <w:tcW w:type="dxa" w:w="1994"/>
          </w:tcPr>
          <w:p>
            <w:r>
              <w:rPr>
                <w:sz w:val="18"/>
              </w:rPr>
            </w:r>
            <w:r>
              <w:rPr>
                <w:sz w:val="18"/>
              </w:rPr>
              <w:t>0.10</w:t>
            </w:r>
          </w:p>
        </w:tc>
        <w:tc>
          <w:tcPr>
            <w:tcW w:type="dxa" w:w="1994"/>
          </w:tcPr>
          <w:p>
            <w:r>
              <w:rPr>
                <w:sz w:val="18"/>
              </w:rPr>
            </w:r>
            <w:r>
              <w:rPr>
                <w:b/>
                <w:sz w:val="18"/>
              </w:rPr>
              <w:t>1.00（全額扣除）</w:t>
            </w:r>
          </w:p>
        </w:tc>
        <w:tc>
          <w:tcPr>
            <w:tcW w:type="dxa" w:w="1994"/>
          </w:tcPr>
          <w:p>
            <w:r>
              <w:rPr>
                <w:sz w:val="18"/>
              </w:rPr>
            </w:r>
            <w:r>
              <w:rPr>
                <w:sz w:val="18"/>
              </w:rPr>
              <w:t>—</w:t>
            </w:r>
          </w:p>
        </w:tc>
        <w:tc>
          <w:tcPr>
            <w:tcW w:type="dxa" w:w="1994"/>
          </w:tcPr>
          <w:p>
            <w:r>
              <w:rPr>
                <w:sz w:val="18"/>
              </w:rPr>
            </w:r>
            <w:r>
              <w:rPr>
                <w:sz w:val="18"/>
              </w:rPr>
              <w:t>—</w:t>
            </w:r>
          </w:p>
        </w:tc>
      </w:tr>
      <w:tr>
        <w:tc>
          <w:tcPr>
            <w:tcW w:type="dxa" w:w="1994"/>
          </w:tcPr>
          <w:p>
            <w:r>
              <w:rPr>
                <w:sz w:val="18"/>
              </w:rPr>
            </w:r>
            <w:r>
              <w:rPr>
                <w:sz w:val="18"/>
              </w:rPr>
              <w:t>投資性房地產</w:t>
            </w:r>
          </w:p>
        </w:tc>
        <w:tc>
          <w:tcPr>
            <w:tcW w:type="dxa" w:w="1994"/>
          </w:tcPr>
          <w:p>
            <w:r>
              <w:rPr>
                <w:sz w:val="18"/>
              </w:rPr>
            </w:r>
            <w:r>
              <w:rPr>
                <w:sz w:val="18"/>
              </w:rPr>
              <w:t>0.08（成本）／0.12（公允）</w:t>
            </w:r>
          </w:p>
        </w:tc>
        <w:tc>
          <w:tcPr>
            <w:tcW w:type="dxa" w:w="1994"/>
          </w:tcPr>
          <w:p>
            <w:r>
              <w:rPr>
                <w:sz w:val="18"/>
              </w:rPr>
            </w:r>
            <w:r>
              <w:rPr>
                <w:sz w:val="18"/>
              </w:rPr>
              <w:t>統一成本模式，</w:t>
            </w:r>
            <w:r>
              <w:rPr>
                <w:b/>
                <w:sz w:val="18"/>
              </w:rPr>
              <w:t>0.15</w:t>
            </w:r>
          </w:p>
        </w:tc>
        <w:tc>
          <w:tcPr>
            <w:tcW w:type="dxa" w:w="1994"/>
          </w:tcPr>
          <w:p>
            <w:r>
              <w:rPr>
                <w:sz w:val="18"/>
              </w:rPr>
            </w:r>
            <w:r>
              <w:rPr>
                <w:sz w:val="18"/>
              </w:rPr>
              <w:t>—</w:t>
            </w:r>
          </w:p>
        </w:tc>
        <w:tc>
          <w:tcPr>
            <w:tcW w:type="dxa" w:w="1994"/>
          </w:tcPr>
          <w:p>
            <w:r>
              <w:rPr>
                <w:sz w:val="18"/>
              </w:rPr>
            </w:r>
            <w:r>
              <w:rPr>
                <w:sz w:val="18"/>
              </w:rPr>
              <w:t>—</w:t>
            </w:r>
          </w:p>
        </w:tc>
      </w:tr>
      <w:tr>
        <w:tc>
          <w:tcPr>
            <w:tcW w:type="dxa" w:w="1994"/>
          </w:tcPr>
          <w:p>
            <w:r>
              <w:rPr>
                <w:sz w:val="18"/>
              </w:rPr>
            </w:r>
            <w:r>
              <w:rPr>
                <w:sz w:val="18"/>
              </w:rPr>
              <w:t>不動產占總資產 &gt;25%</w:t>
            </w:r>
          </w:p>
        </w:tc>
        <w:tc>
          <w:tcPr>
            <w:tcW w:type="dxa" w:w="1994"/>
          </w:tcPr>
          <w:p>
            <w:r>
              <w:rPr>
                <w:sz w:val="18"/>
              </w:rPr>
            </w:r>
            <w:r>
              <w:rPr>
                <w:sz w:val="18"/>
              </w:rPr>
              <w:t>—</w:t>
            </w:r>
          </w:p>
        </w:tc>
        <w:tc>
          <w:tcPr>
            <w:tcW w:type="dxa" w:w="1994"/>
          </w:tcPr>
          <w:p>
            <w:r>
              <w:rPr>
                <w:sz w:val="18"/>
              </w:rPr>
            </w:r>
            <w:r>
              <w:rPr>
                <w:sz w:val="18"/>
              </w:rPr>
              <w:t>集中度附加因子 0.5</w:t>
            </w:r>
          </w:p>
        </w:tc>
        <w:tc>
          <w:tcPr>
            <w:tcW w:type="dxa" w:w="1994"/>
          </w:tcPr>
          <w:p>
            <w:r>
              <w:rPr>
                <w:sz w:val="18"/>
              </w:rPr>
            </w:r>
            <w:r>
              <w:rPr>
                <w:sz w:val="18"/>
              </w:rPr>
              <w:t>—</w:t>
            </w:r>
          </w:p>
        </w:tc>
        <w:tc>
          <w:tcPr>
            <w:tcW w:type="dxa" w:w="1994"/>
          </w:tcPr>
          <w:p>
            <w:r>
              <w:rPr>
                <w:sz w:val="18"/>
              </w:rPr>
            </w:r>
            <w:r>
              <w:rPr>
                <w:sz w:val="18"/>
              </w:rPr>
              <w:t>—</w:t>
            </w:r>
          </w:p>
        </w:tc>
      </w:tr>
      <w:tr>
        <w:tc>
          <w:tcPr>
            <w:tcW w:type="dxa" w:w="1994"/>
          </w:tcPr>
          <w:p>
            <w:r>
              <w:rPr>
                <w:sz w:val="18"/>
              </w:rPr>
            </w:r>
            <w:r>
              <w:rPr>
                <w:sz w:val="18"/>
              </w:rPr>
              <w:t>非標無法穿透</w:t>
            </w:r>
          </w:p>
        </w:tc>
        <w:tc>
          <w:tcPr>
            <w:tcW w:type="dxa" w:w="1994"/>
          </w:tcPr>
          <w:p>
            <w:r>
              <w:rPr>
                <w:sz w:val="18"/>
              </w:rPr>
            </w:r>
            <w:r>
              <w:rPr>
                <w:sz w:val="18"/>
              </w:rPr>
              <w:t>—</w:t>
            </w:r>
          </w:p>
        </w:tc>
        <w:tc>
          <w:tcPr>
            <w:tcW w:type="dxa" w:w="1994"/>
          </w:tcPr>
          <w:p>
            <w:r>
              <w:rPr>
                <w:sz w:val="18"/>
              </w:rPr>
            </w:r>
            <w:r>
              <w:rPr>
                <w:sz w:val="18"/>
              </w:rPr>
              <w:t>兜底因子 0.6，每多一層 +10%</w:t>
            </w:r>
          </w:p>
        </w:tc>
        <w:tc>
          <w:tcPr>
            <w:tcW w:type="dxa" w:w="1994"/>
          </w:tcPr>
          <w:p>
            <w:r>
              <w:rPr>
                <w:sz w:val="18"/>
              </w:rPr>
            </w:r>
            <w:r>
              <w:rPr>
                <w:sz w:val="18"/>
              </w:rPr>
              <w:t>—</w:t>
            </w:r>
          </w:p>
        </w:tc>
        <w:tc>
          <w:tcPr>
            <w:tcW w:type="dxa" w:w="1994"/>
          </w:tcPr>
          <w:p>
            <w:r>
              <w:rPr>
                <w:sz w:val="18"/>
              </w:rPr>
            </w:r>
            <w:r>
              <w:rPr>
                <w:sz w:val="18"/>
              </w:rPr>
              <w:t>—</w:t>
            </w:r>
          </w:p>
        </w:tc>
      </w:tr>
      <w:tr>
        <w:tc>
          <w:tcPr>
            <w:tcW w:type="dxa" w:w="1994"/>
          </w:tcPr>
          <w:p>
            <w:r>
              <w:rPr>
                <w:sz w:val="18"/>
              </w:rPr>
            </w:r>
            <w:r>
              <w:rPr>
                <w:sz w:val="18"/>
              </w:rPr>
              <w:t>綠色債券</w:t>
            </w:r>
          </w:p>
        </w:tc>
        <w:tc>
          <w:tcPr>
            <w:tcW w:type="dxa" w:w="1994"/>
          </w:tcPr>
          <w:p>
            <w:r>
              <w:rPr>
                <w:sz w:val="18"/>
              </w:rPr>
            </w:r>
            <w:r>
              <w:rPr>
                <w:sz w:val="18"/>
              </w:rPr>
              <w:t>—</w:t>
            </w:r>
          </w:p>
        </w:tc>
        <w:tc>
          <w:tcPr>
            <w:tcW w:type="dxa" w:w="1994"/>
          </w:tcPr>
          <w:p>
            <w:r>
              <w:rPr>
                <w:sz w:val="18"/>
              </w:rPr>
            </w:r>
            <w:r>
              <w:rPr>
                <w:sz w:val="18"/>
              </w:rPr>
              <w:t>信用風險最低資本折 10%</w:t>
            </w:r>
          </w:p>
        </w:tc>
        <w:tc>
          <w:tcPr>
            <w:tcW w:type="dxa" w:w="1994"/>
          </w:tcPr>
          <w:p>
            <w:r>
              <w:rPr>
                <w:sz w:val="18"/>
              </w:rPr>
            </w:r>
            <w:r>
              <w:rPr>
                <w:sz w:val="18"/>
              </w:rPr>
              <w:t>—</w:t>
            </w:r>
          </w:p>
        </w:tc>
        <w:tc>
          <w:tcPr>
            <w:tcW w:type="dxa" w:w="1994"/>
          </w:tcPr>
          <w:p>
            <w:r>
              <w:rPr>
                <w:sz w:val="18"/>
              </w:rPr>
            </w:r>
            <w:r>
              <w:rPr>
                <w:sz w:val="18"/>
              </w:rPr>
              <w:t>—</w:t>
            </w:r>
          </w:p>
        </w:tc>
      </w:tr>
      <w:tr>
        <w:tc>
          <w:tcPr>
            <w:tcW w:type="dxa" w:w="1994"/>
          </w:tcPr>
          <w:p>
            <w:r>
              <w:rPr>
                <w:sz w:val="18"/>
              </w:rPr>
            </w:r>
            <w:r>
              <w:rPr>
                <w:sz w:val="18"/>
              </w:rPr>
              <w:t>市場風險 × 信用風險相關係數</w:t>
            </w:r>
          </w:p>
        </w:tc>
        <w:tc>
          <w:tcPr>
            <w:tcW w:type="dxa" w:w="1994"/>
          </w:tcPr>
          <w:p>
            <w:r>
              <w:rPr>
                <w:sz w:val="18"/>
              </w:rPr>
            </w:r>
            <w:r>
              <w:rPr>
                <w:sz w:val="18"/>
              </w:rPr>
              <w:t>0.25</w:t>
            </w:r>
          </w:p>
        </w:tc>
        <w:tc>
          <w:tcPr>
            <w:tcW w:type="dxa" w:w="1994"/>
          </w:tcPr>
          <w:p>
            <w:r>
              <w:rPr>
                <w:sz w:val="18"/>
              </w:rPr>
            </w:r>
            <w:r>
              <w:rPr>
                <w:sz w:val="18"/>
              </w:rPr>
              <w:t>0.35</w:t>
            </w:r>
          </w:p>
        </w:tc>
        <w:tc>
          <w:tcPr>
            <w:tcW w:type="dxa" w:w="1994"/>
          </w:tcPr>
          <w:p>
            <w:r>
              <w:rPr>
                <w:sz w:val="18"/>
              </w:rPr>
            </w:r>
            <w:r>
              <w:rPr>
                <w:sz w:val="18"/>
              </w:rPr>
              <w:t>—</w:t>
            </w:r>
          </w:p>
        </w:tc>
        <w:tc>
          <w:tcPr>
            <w:tcW w:type="dxa" w:w="1994"/>
          </w:tcPr>
          <w:p>
            <w:r>
              <w:rPr>
                <w:sz w:val="18"/>
              </w:rPr>
            </w:r>
            <w:r>
              <w:rPr>
                <w:sz w:val="18"/>
              </w:rPr>
              <w:t>—</w:t>
            </w:r>
          </w:p>
        </w:tc>
      </w:tr>
      <w:tr>
        <w:tc>
          <w:tcPr>
            <w:tcW w:type="dxa" w:w="1994"/>
          </w:tcPr>
          <w:p>
            <w:r>
              <w:rPr>
                <w:sz w:val="18"/>
              </w:rPr>
            </w:r>
            <w:r>
              <w:rPr>
                <w:sz w:val="18"/>
              </w:rPr>
              <w:t>財險與再保公司最低資本折扣</w:t>
            </w:r>
          </w:p>
        </w:tc>
        <w:tc>
          <w:tcPr>
            <w:tcW w:type="dxa" w:w="1994"/>
          </w:tcPr>
          <w:p>
            <w:r>
              <w:rPr>
                <w:sz w:val="18"/>
              </w:rPr>
            </w:r>
            <w:r>
              <w:rPr>
                <w:sz w:val="18"/>
              </w:rPr>
              <w:t>—</w:t>
            </w:r>
          </w:p>
        </w:tc>
        <w:tc>
          <w:tcPr>
            <w:tcW w:type="dxa" w:w="1994"/>
          </w:tcPr>
          <w:p>
            <w:r>
              <w:rPr>
                <w:sz w:val="18"/>
              </w:rPr>
            </w:r>
            <w:r>
              <w:rPr>
                <w:sz w:val="18"/>
              </w:rPr>
              <w:t>—</w:t>
            </w:r>
          </w:p>
        </w:tc>
        <w:tc>
          <w:tcPr>
            <w:tcW w:type="dxa" w:w="1994"/>
          </w:tcPr>
          <w:p>
            <w:r>
              <w:rPr>
                <w:sz w:val="18"/>
              </w:rPr>
            </w:r>
            <w:r>
              <w:rPr>
                <w:sz w:val="18"/>
              </w:rPr>
              <w:t>總資產 100～2,000 億按 95%、&lt;100 億按 90%</w:t>
            </w:r>
          </w:p>
        </w:tc>
        <w:tc>
          <w:tcPr>
            <w:tcW w:type="dxa" w:w="1994"/>
          </w:tcPr>
          <w:p>
            <w:r>
              <w:rPr>
                <w:sz w:val="18"/>
              </w:rPr>
            </w:r>
            <w:r>
              <w:rPr>
                <w:sz w:val="18"/>
              </w:rPr>
              <w:t>—</w:t>
            </w:r>
          </w:p>
        </w:tc>
      </w:tr>
    </w:tbl>
    <w:p/>
    <w:p>
      <w:r>
        <w:t>（因子為多來源摘要轉述，未核對規則原文。注意：2025 年 5 月 7 日李雲澤在國新辦只是「預告」再降 10%，正式《關於調整保險公司相關業務風險因子的通知》是 2025 年 12 月 5 日發布；港股通標的因子未找到。市場測算釋放的最低資本若全數投入滬深 300，對應約 1,086 億元。）</w:t>
      </w:r>
    </w:p>
    <w:p>
      <w:pPr>
        <w:pStyle w:val="Heading3"/>
      </w:pPr>
      <w:r>
        <w:t>四、為什麼「權益投資吃資本」、利率下行「兩頭夾」</w:t>
      </w:r>
    </w:p>
    <w:p>
      <w:r>
        <w:rPr>
          <w:b/>
        </w:rPr>
        <w:t>一個簡化算例（主代理演算，僅示意）</w:t>
      </w:r>
      <w:r>
        <w:t>：某壽險公司有 1,000 億資產，若 100 億從國債換成滬深 300 股票：</w:t>
      </w:r>
    </w:p>
    <w:p>
      <w:pPr>
        <w:pStyle w:val="ListBullet"/>
      </w:pPr>
      <w:r>
        <w:t>市場風險最低資本增加約 100 × 0.30 = 30 億（國債利率風險另計，此處忽略）。</w:t>
      </w:r>
    </w:p>
    <w:p>
      <w:pPr>
        <w:pStyle w:val="ListBullet"/>
      </w:pPr>
      <w:r>
        <w:t>若原本最低資本 500 億、實際資本 1,000 億（綜合 200%），換股後最低資本 530 億，充足率降到 189%。</w:t>
      </w:r>
    </w:p>
    <w:p>
      <w:pPr>
        <w:pStyle w:val="ListBullet"/>
      </w:pPr>
      <w:r>
        <w:t>換 300 億進股票，最低資本 590 億，充足率 169%。</w:t>
      </w:r>
    </w:p>
    <w:p>
      <w:pPr>
        <w:pStyle w:val="ListBullet"/>
      </w:pPr>
      <w:r>
        <w:t>這就是為什麼監管一邊喊「長錢入市」，一邊要降股票因子、注資、擴權益上限：不然險企根本沒有資本空間加倉。</w:t>
      </w:r>
    </w:p>
    <w:p>
      <w:r>
        <w:rPr>
          <w:b/>
        </w:rPr>
        <w:t>利率下行的雙重打擊</w:t>
      </w:r>
      <w:r>
        <w:t>：</w:t>
      </w:r>
    </w:p>
    <w:p>
      <w:pPr>
        <w:pStyle w:val="ListBullet"/>
      </w:pPr>
      <w:r>
        <w:t xml:space="preserve">分子：會計口徑的壽險準備金折現率掛鉤 750 日移動平均國債收益率，利率一路下行，曲線就一路下移，準備金增提、淨資產減少。償付能力口徑（償二代二期）則改用 </w:t>
      </w:r>
      <w:r>
        <w:rPr>
          <w:b/>
        </w:rPr>
        <w:t>60 日移動平均</w:t>
      </w:r>
      <w:r>
        <w:t>國債即期曲線加終極利率 4.5%（GAP-2 與 EXT-1 兩份來源一致；EXT-4 稱共用 750 日，以前者為準，待原文核實），對利率更敏感，所以償付能力比會計報表更早、更劇烈地反映利率下行。利率風險最低資本採情景法（基準情景 vs 不利情景）。</w:t>
      </w:r>
    </w:p>
    <w:p>
      <w:pPr>
        <w:pStyle w:val="ListBullet"/>
      </w:pPr>
      <w:r>
        <w:t>分母：利率風險最低資本隨負債現值上升而增加；長久期負債對利率更敏感。</w:t>
      </w:r>
    </w:p>
    <w:p>
      <w:pPr>
        <w:pStyle w:val="ListBullet"/>
      </w:pPr>
      <w:r>
        <w:t>分子變小、分母變大，充足率兩頭受壓。財政注資只補分子。</w:t>
      </w:r>
    </w:p>
    <w:p>
      <w:pPr>
        <w:pStyle w:val="Heading3"/>
      </w:pPr>
      <w:r>
        <w:t>五、歷次版本演變：每一版想解決什麼</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版本</w:t>
            </w:r>
          </w:p>
        </w:tc>
        <w:tc>
          <w:tcPr>
            <w:tcW w:type="dxa" w:w="1994"/>
          </w:tcPr>
          <w:p>
            <w:r>
              <w:rPr>
                <w:b/>
                <w:sz w:val="18"/>
              </w:rPr>
            </w:r>
            <w:r>
              <w:rPr>
                <w:b/>
                <w:sz w:val="18"/>
              </w:rPr>
              <w:t>時間</w:t>
            </w:r>
          </w:p>
        </w:tc>
        <w:tc>
          <w:tcPr>
            <w:tcW w:type="dxa" w:w="1994"/>
          </w:tcPr>
          <w:p>
            <w:r>
              <w:rPr>
                <w:b/>
                <w:sz w:val="18"/>
              </w:rPr>
            </w:r>
            <w:r>
              <w:rPr>
                <w:b/>
                <w:sz w:val="18"/>
              </w:rPr>
              <w:t>邏輯</w:t>
            </w:r>
          </w:p>
        </w:tc>
        <w:tc>
          <w:tcPr>
            <w:tcW w:type="dxa" w:w="1994"/>
          </w:tcPr>
          <w:p>
            <w:r>
              <w:rPr>
                <w:b/>
                <w:sz w:val="18"/>
              </w:rPr>
            </w:r>
            <w:r>
              <w:rPr>
                <w:b/>
                <w:sz w:val="18"/>
              </w:rPr>
              <w:t>主要變化</w:t>
            </w:r>
          </w:p>
        </w:tc>
        <w:tc>
          <w:tcPr>
            <w:tcW w:type="dxa" w:w="1994"/>
          </w:tcPr>
          <w:p>
            <w:r>
              <w:rPr>
                <w:b/>
                <w:sz w:val="18"/>
              </w:rPr>
            </w:r>
            <w:r>
              <w:rPr>
                <w:b/>
                <w:sz w:val="18"/>
              </w:rPr>
              <w:t>動機</w:t>
            </w:r>
          </w:p>
        </w:tc>
      </w:tr>
      <w:tr>
        <w:tc>
          <w:tcPr>
            <w:tcW w:type="dxa" w:w="1994"/>
          </w:tcPr>
          <w:p>
            <w:r>
              <w:rPr>
                <w:sz w:val="18"/>
              </w:rPr>
            </w:r>
            <w:r>
              <w:rPr>
                <w:b/>
                <w:sz w:val="18"/>
              </w:rPr>
              <w:t>償一代</w:t>
            </w:r>
          </w:p>
        </w:tc>
        <w:tc>
          <w:tcPr>
            <w:tcW w:type="dxa" w:w="1994"/>
          </w:tcPr>
          <w:p>
            <w:r>
              <w:rPr>
                <w:sz w:val="18"/>
              </w:rPr>
            </w:r>
            <w:r>
              <w:rPr>
                <w:sz w:val="18"/>
              </w:rPr>
              <w:t>2008-09 實施（保監會令 2008 年第 1 號）</w:t>
            </w:r>
          </w:p>
        </w:tc>
        <w:tc>
          <w:tcPr>
            <w:tcW w:type="dxa" w:w="1994"/>
          </w:tcPr>
          <w:p>
            <w:r>
              <w:rPr>
                <w:sz w:val="18"/>
              </w:rPr>
            </w:r>
            <w:r>
              <w:rPr>
                <w:sz w:val="18"/>
              </w:rPr>
              <w:t>規模導向，仿歐盟 Solvency I</w:t>
            </w:r>
          </w:p>
        </w:tc>
        <w:tc>
          <w:tcPr>
            <w:tcW w:type="dxa" w:w="1994"/>
          </w:tcPr>
          <w:p>
            <w:r>
              <w:rPr>
                <w:sz w:val="18"/>
              </w:rPr>
            </w:r>
            <w:r>
              <w:rPr>
                <w:sz w:val="18"/>
              </w:rPr>
              <w:t>壽險最低資本 = 準備金 4% + 風險保額 0.3%；非壽險按保費或賠款比例（具體比例未找到）；充足率 ≥100%</w:t>
            </w:r>
          </w:p>
        </w:tc>
        <w:tc>
          <w:tcPr>
            <w:tcW w:type="dxa" w:w="1994"/>
          </w:tcPr>
          <w:p>
            <w:r>
              <w:rPr>
                <w:sz w:val="18"/>
              </w:rPr>
            </w:r>
            <w:r>
              <w:rPr>
                <w:sz w:val="18"/>
              </w:rPr>
              <w:t>簡單，但不反映投資風險與資產負債錯配；萬能險激進公司「合規但高風險」</w:t>
            </w:r>
          </w:p>
        </w:tc>
      </w:tr>
      <w:tr>
        <w:tc>
          <w:tcPr>
            <w:tcW w:type="dxa" w:w="1994"/>
          </w:tcPr>
          <w:p>
            <w:r>
              <w:rPr>
                <w:sz w:val="18"/>
              </w:rPr>
            </w:r>
            <w:r>
              <w:rPr>
                <w:b/>
                <w:sz w:val="18"/>
              </w:rPr>
              <w:t>償二代一期（C-ROSS）</w:t>
            </w:r>
          </w:p>
        </w:tc>
        <w:tc>
          <w:tcPr>
            <w:tcW w:type="dxa" w:w="1994"/>
          </w:tcPr>
          <w:p>
            <w:r>
              <w:rPr>
                <w:sz w:val="18"/>
              </w:rPr>
            </w:r>
            <w:r>
              <w:rPr>
                <w:sz w:val="18"/>
              </w:rPr>
              <w:t>2015-02 發布 17 項規則，2016-01 實施</w:t>
            </w:r>
          </w:p>
        </w:tc>
        <w:tc>
          <w:tcPr>
            <w:tcW w:type="dxa" w:w="1994"/>
          </w:tcPr>
          <w:p>
            <w:r>
              <w:rPr>
                <w:sz w:val="18"/>
              </w:rPr>
            </w:r>
            <w:r>
              <w:rPr>
                <w:sz w:val="18"/>
              </w:rPr>
              <w:t>風險導向三支柱</w:t>
            </w:r>
          </w:p>
        </w:tc>
        <w:tc>
          <w:tcPr>
            <w:tcW w:type="dxa" w:w="1994"/>
          </w:tcPr>
          <w:p>
            <w:r>
              <w:rPr>
                <w:sz w:val="18"/>
              </w:rPr>
            </w:r>
            <w:r>
              <w:rPr>
                <w:sz w:val="18"/>
              </w:rPr>
              <w:t>量化資本 + 風險綜合評級（IRR）與 SARMRA + 市場約束；最低資本與資產風險掛鉤</w:t>
            </w:r>
          </w:p>
        </w:tc>
        <w:tc>
          <w:tcPr>
            <w:tcW w:type="dxa" w:w="1994"/>
          </w:tcPr>
          <w:p>
            <w:r>
              <w:rPr>
                <w:sz w:val="18"/>
              </w:rPr>
            </w:r>
            <w:r>
              <w:rPr>
                <w:sz w:val="18"/>
              </w:rPr>
              <w:t>從「重規模」轉「重風險」；國際評價與 Solvency II 相當、優於美國 RBC</w:t>
            </w:r>
          </w:p>
        </w:tc>
      </w:tr>
      <w:tr>
        <w:tc>
          <w:tcPr>
            <w:tcW w:type="dxa" w:w="1994"/>
          </w:tcPr>
          <w:p>
            <w:r>
              <w:rPr>
                <w:sz w:val="18"/>
              </w:rPr>
            </w:r>
            <w:r>
              <w:rPr>
                <w:b/>
                <w:sz w:val="18"/>
              </w:rPr>
              <w:t>償二代二期</w:t>
            </w:r>
          </w:p>
        </w:tc>
        <w:tc>
          <w:tcPr>
            <w:tcW w:type="dxa" w:w="1994"/>
          </w:tcPr>
          <w:p>
            <w:r>
              <w:rPr>
                <w:sz w:val="18"/>
              </w:rPr>
            </w:r>
            <w:r>
              <w:rPr>
                <w:sz w:val="18"/>
              </w:rPr>
              <w:t>2021-12 發布 20 項規則，2022Q1 實施，過渡期原 3 年</w:t>
            </w:r>
          </w:p>
        </w:tc>
        <w:tc>
          <w:tcPr>
            <w:tcW w:type="dxa" w:w="1994"/>
          </w:tcPr>
          <w:p>
            <w:r>
              <w:rPr>
                <w:sz w:val="18"/>
              </w:rPr>
            </w:r>
            <w:r>
              <w:rPr>
                <w:sz w:val="18"/>
              </w:rPr>
              <w:t>嚴監管、穿透、回歸主業</w:t>
            </w:r>
          </w:p>
        </w:tc>
        <w:tc>
          <w:tcPr>
            <w:tcW w:type="dxa" w:w="1994"/>
          </w:tcPr>
          <w:p>
            <w:r>
              <w:rPr>
                <w:sz w:val="18"/>
              </w:rPr>
            </w:r>
            <w:r>
              <w:rPr>
                <w:sz w:val="18"/>
              </w:rPr>
              <w:t>保單未來盈餘分級、長期股權與非保險子公司因子大幅上調、不動產改成本模式、非標穿透與兜底因子、利率風險計量擴大到所有利率敏感資產、新增集中度風險、相關係數按公司類型分三套</w:t>
            </w:r>
          </w:p>
        </w:tc>
        <w:tc>
          <w:tcPr>
            <w:tcW w:type="dxa" w:w="1994"/>
          </w:tcPr>
          <w:p>
            <w:r>
              <w:rPr>
                <w:sz w:val="18"/>
              </w:rPr>
            </w:r>
            <w:r>
              <w:rPr>
                <w:sz w:val="18"/>
              </w:rPr>
              <w:t>堵「資本注水」（保單盈餘、股權高估值）、「類金控無序擴張」、「非標嵌套藏風險」</w:t>
            </w:r>
          </w:p>
        </w:tc>
      </w:tr>
      <w:tr>
        <w:tc>
          <w:tcPr>
            <w:tcW w:type="dxa" w:w="1994"/>
          </w:tcPr>
          <w:p>
            <w:r>
              <w:rPr>
                <w:sz w:val="18"/>
              </w:rPr>
            </w:r>
            <w:r>
              <w:rPr>
                <w:b/>
                <w:sz w:val="18"/>
              </w:rPr>
              <w:t>2023-09 優化通知</w:t>
            </w:r>
          </w:p>
        </w:tc>
        <w:tc>
          <w:tcPr>
            <w:tcW w:type="dxa" w:w="1994"/>
          </w:tcPr>
          <w:p>
            <w:r>
              <w:rPr>
                <w:sz w:val="18"/>
              </w:rPr>
            </w:r>
            <w:r>
              <w:rPr>
                <w:sz w:val="18"/>
              </w:rPr>
              <w:t>2023-09-10</w:t>
            </w:r>
          </w:p>
        </w:tc>
        <w:tc>
          <w:tcPr>
            <w:tcW w:type="dxa" w:w="1994"/>
          </w:tcPr>
          <w:p>
            <w:r>
              <w:rPr>
                <w:sz w:val="18"/>
              </w:rPr>
            </w:r>
            <w:r>
              <w:rPr>
                <w:sz w:val="18"/>
              </w:rPr>
              <w:t>定向鬆綁</w:t>
            </w:r>
          </w:p>
        </w:tc>
        <w:tc>
          <w:tcPr>
            <w:tcW w:type="dxa" w:w="1994"/>
          </w:tcPr>
          <w:p>
            <w:r>
              <w:rPr>
                <w:sz w:val="18"/>
              </w:rPr>
            </w:r>
            <w:r>
              <w:rPr>
                <w:sz w:val="18"/>
              </w:rPr>
              <w:t>滬深 300 因子 0.35→0.30、科創板 0.45→0.40、REITs 0.6→0.5；財險與再保最低資本折扣；財務再保減 5%</w:t>
            </w:r>
          </w:p>
        </w:tc>
        <w:tc>
          <w:tcPr>
            <w:tcW w:type="dxa" w:w="1994"/>
          </w:tcPr>
          <w:p>
            <w:r>
              <w:rPr>
                <w:sz w:val="18"/>
              </w:rPr>
            </w:r>
            <w:r>
              <w:rPr>
                <w:sz w:val="18"/>
              </w:rPr>
              <w:t>二期實施後行業核心充足率從 220% 掉到 128%，疊加股市低迷；為穩增長與險資入市開口</w:t>
            </w:r>
          </w:p>
        </w:tc>
      </w:tr>
      <w:tr>
        <w:tc>
          <w:tcPr>
            <w:tcW w:type="dxa" w:w="1994"/>
          </w:tcPr>
          <w:p>
            <w:r>
              <w:rPr>
                <w:sz w:val="18"/>
              </w:rPr>
            </w:r>
            <w:r>
              <w:rPr>
                <w:b/>
                <w:sz w:val="18"/>
              </w:rPr>
              <w:t>2024-12 延長過渡期</w:t>
            </w:r>
          </w:p>
        </w:tc>
        <w:tc>
          <w:tcPr>
            <w:tcW w:type="dxa" w:w="1994"/>
          </w:tcPr>
          <w:p>
            <w:r>
              <w:rPr>
                <w:sz w:val="18"/>
              </w:rPr>
            </w:r>
            <w:r>
              <w:rPr>
                <w:sz w:val="18"/>
              </w:rPr>
              <w:t>2024-12-20</w:t>
            </w:r>
          </w:p>
        </w:tc>
        <w:tc>
          <w:tcPr>
            <w:tcW w:type="dxa" w:w="1994"/>
          </w:tcPr>
          <w:p>
            <w:r>
              <w:rPr>
                <w:sz w:val="18"/>
              </w:rPr>
            </w:r>
            <w:r>
              <w:rPr>
                <w:sz w:val="18"/>
              </w:rPr>
              <w:t>緩衝</w:t>
            </w:r>
          </w:p>
        </w:tc>
        <w:tc>
          <w:tcPr>
            <w:tcW w:type="dxa" w:w="1994"/>
          </w:tcPr>
          <w:p>
            <w:r>
              <w:rPr>
                <w:sz w:val="18"/>
              </w:rPr>
            </w:r>
            <w:r>
              <w:rPr>
                <w:sz w:val="18"/>
              </w:rPr>
              <w:t>過渡期延到 2025 年底，「一司一策」</w:t>
            </w:r>
          </w:p>
        </w:tc>
        <w:tc>
          <w:tcPr>
            <w:tcW w:type="dxa" w:w="1994"/>
          </w:tcPr>
          <w:p>
            <w:r>
              <w:rPr>
                <w:sz w:val="18"/>
              </w:rPr>
            </w:r>
            <w:r>
              <w:rPr>
                <w:sz w:val="18"/>
              </w:rPr>
              <w:t>避免 2024 年底集中補血衝擊市場；2024 年險企發債超 1,400 億</w:t>
            </w:r>
          </w:p>
        </w:tc>
      </w:tr>
      <w:tr>
        <w:tc>
          <w:tcPr>
            <w:tcW w:type="dxa" w:w="1994"/>
          </w:tcPr>
          <w:p>
            <w:r>
              <w:rPr>
                <w:sz w:val="18"/>
              </w:rPr>
            </w:r>
            <w:r>
              <w:rPr>
                <w:b/>
                <w:sz w:val="18"/>
              </w:rPr>
              <w:t>2025-12 再降股票因子</w:t>
            </w:r>
          </w:p>
        </w:tc>
        <w:tc>
          <w:tcPr>
            <w:tcW w:type="dxa" w:w="1994"/>
          </w:tcPr>
          <w:p>
            <w:r>
              <w:rPr>
                <w:sz w:val="18"/>
              </w:rPr>
            </w:r>
            <w:r>
              <w:rPr>
                <w:sz w:val="18"/>
              </w:rPr>
              <w:t>2025-05 預告，2025-12-05 正式發布</w:t>
            </w:r>
          </w:p>
        </w:tc>
        <w:tc>
          <w:tcPr>
            <w:tcW w:type="dxa" w:w="1994"/>
          </w:tcPr>
          <w:p>
            <w:r>
              <w:rPr>
                <w:sz w:val="18"/>
              </w:rPr>
            </w:r>
            <w:r>
              <w:rPr>
                <w:sz w:val="18"/>
              </w:rPr>
              <w:t>配合長錢入市</w:t>
            </w:r>
          </w:p>
        </w:tc>
        <w:tc>
          <w:tcPr>
            <w:tcW w:type="dxa" w:w="1994"/>
          </w:tcPr>
          <w:p>
            <w:r>
              <w:rPr>
                <w:sz w:val="18"/>
              </w:rPr>
            </w:r>
            <w:r>
              <w:rPr>
                <w:sz w:val="18"/>
              </w:rPr>
              <w:t>持倉滿 3 年的滬深 300 與紅利低波成分股 0.30→0.27、持倉滿 2 年的科創板 0.40→0.36，配合 600 億長期投資試點；並綁定「持有期限」條件，獎勵長期持有</w:t>
            </w:r>
          </w:p>
        </w:tc>
        <w:tc>
          <w:tcPr>
            <w:tcW w:type="dxa" w:w="1994"/>
          </w:tcPr>
          <w:p>
            <w:r>
              <w:rPr>
                <w:sz w:val="18"/>
              </w:rPr>
            </w:r>
            <w:r>
              <w:rPr>
                <w:sz w:val="18"/>
              </w:rPr>
              <w:t>市場估算釋放約 1,086～2,000 億增量資金</w:t>
            </w:r>
          </w:p>
        </w:tc>
      </w:tr>
      <w:tr>
        <w:tc>
          <w:tcPr>
            <w:tcW w:type="dxa" w:w="1994"/>
          </w:tcPr>
          <w:p>
            <w:r>
              <w:rPr>
                <w:sz w:val="18"/>
              </w:rPr>
            </w:r>
            <w:r>
              <w:rPr>
                <w:b/>
                <w:sz w:val="18"/>
              </w:rPr>
              <w:t>2026 全面執行</w:t>
            </w:r>
          </w:p>
        </w:tc>
        <w:tc>
          <w:tcPr>
            <w:tcW w:type="dxa" w:w="1994"/>
          </w:tcPr>
          <w:p>
            <w:r>
              <w:rPr>
                <w:sz w:val="18"/>
              </w:rPr>
            </w:r>
            <w:r>
              <w:rPr>
                <w:sz w:val="18"/>
              </w:rPr>
              <w:t>2026-01-01</w:t>
            </w:r>
          </w:p>
        </w:tc>
        <w:tc>
          <w:tcPr>
            <w:tcW w:type="dxa" w:w="1994"/>
          </w:tcPr>
          <w:p>
            <w:r>
              <w:rPr>
                <w:sz w:val="18"/>
              </w:rPr>
            </w:r>
            <w:r>
              <w:rPr>
                <w:sz w:val="18"/>
              </w:rPr>
              <w:t>常態化</w:t>
            </w:r>
          </w:p>
        </w:tc>
        <w:tc>
          <w:tcPr>
            <w:tcW w:type="dxa" w:w="1994"/>
          </w:tcPr>
          <w:p>
            <w:r>
              <w:rPr>
                <w:sz w:val="18"/>
              </w:rPr>
            </w:r>
            <w:r>
              <w:rPr>
                <w:sz w:val="18"/>
              </w:rPr>
              <w:t>過渡期退場 + 新會計準則同步切換</w:t>
            </w:r>
          </w:p>
        </w:tc>
        <w:tc>
          <w:tcPr>
            <w:tcW w:type="dxa" w:w="1994"/>
          </w:tcPr>
          <w:p>
            <w:r>
              <w:rPr>
                <w:sz w:val="18"/>
              </w:rPr>
            </w:r>
            <w:r>
              <w:rPr>
                <w:sz w:val="18"/>
              </w:rPr>
              <w:t>2026Q1 多數公司充足率下降，逾九成仍達標</w:t>
            </w:r>
          </w:p>
        </w:tc>
      </w:tr>
      <w:tr>
        <w:tc>
          <w:tcPr>
            <w:tcW w:type="dxa" w:w="1994"/>
          </w:tcPr>
          <w:p>
            <w:r>
              <w:rPr>
                <w:sz w:val="18"/>
              </w:rPr>
            </w:r>
            <w:r>
              <w:rPr>
                <w:b/>
                <w:sz w:val="18"/>
              </w:rPr>
              <w:t>償三代</w:t>
            </w:r>
          </w:p>
        </w:tc>
        <w:tc>
          <w:tcPr>
            <w:tcW w:type="dxa" w:w="1994"/>
          </w:tcPr>
          <w:p>
            <w:r>
              <w:rPr>
                <w:sz w:val="18"/>
              </w:rPr>
            </w:r>
            <w:r>
              <w:rPr>
                <w:sz w:val="18"/>
              </w:rPr>
              <w:t>未立項</w:t>
            </w:r>
          </w:p>
        </w:tc>
        <w:tc>
          <w:tcPr>
            <w:tcW w:type="dxa" w:w="1994"/>
          </w:tcPr>
          <w:p>
            <w:r>
              <w:rPr>
                <w:sz w:val="18"/>
              </w:rPr>
            </w:r>
            <w:r>
              <w:rPr>
                <w:sz w:val="18"/>
              </w:rPr>
              <w:t>—</w:t>
            </w:r>
          </w:p>
        </w:tc>
        <w:tc>
          <w:tcPr>
            <w:tcW w:type="dxa" w:w="1994"/>
          </w:tcPr>
          <w:p>
            <w:r>
              <w:rPr>
                <w:sz w:val="18"/>
              </w:rPr>
            </w:r>
            <w:r>
              <w:rPr>
                <w:sz w:val="18"/>
              </w:rPr>
              <w:t>官方未確認；中泰證券 3 月曾提「償二代三期配合新準則」，監管口徑仍是「二期框架內優化」</w:t>
            </w:r>
          </w:p>
        </w:tc>
        <w:tc>
          <w:tcPr>
            <w:tcW w:type="dxa" w:w="1994"/>
          </w:tcPr>
          <w:p>
            <w:r>
              <w:rPr>
                <w:sz w:val="18"/>
              </w:rPr>
            </w:r>
            <w:r>
              <w:rPr>
                <w:sz w:val="18"/>
              </w:rPr>
              <w:t>市場預期會與 IFRS 17 對接、對長期投資更友善</w:t>
            </w:r>
          </w:p>
        </w:tc>
      </w:tr>
    </w:tbl>
    <w:p/>
    <w:p>
      <w:r>
        <w:t>演變的主線：</w:t>
      </w:r>
      <w:r>
        <w:rPr>
          <w:b/>
        </w:rPr>
        <w:t>2008→2016→2022 越來越嚴、越來越穿透；2023→2025 對股票定向放鬆，且放鬆越來越綁定「長期持有」條件</w:t>
      </w:r>
      <w:r>
        <w:t>。收緊是為了堵資本注水，放鬆是為了讓險資入市。財政注資是這條線的最新一步：規則不再放鬆，改由財政直接補分子。</w:t>
      </w:r>
    </w:p>
    <w:p>
      <w:pPr>
        <w:pStyle w:val="Heading3"/>
      </w:pPr>
      <w:r>
        <w:t>六、跨制度對照（含台灣）</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維度</w:t>
            </w:r>
          </w:p>
        </w:tc>
        <w:tc>
          <w:tcPr>
            <w:tcW w:type="dxa" w:w="1994"/>
          </w:tcPr>
          <w:p>
            <w:r>
              <w:rPr>
                <w:b/>
                <w:sz w:val="18"/>
              </w:rPr>
            </w:r>
            <w:r>
              <w:rPr>
                <w:b/>
                <w:sz w:val="18"/>
              </w:rPr>
              <w:t>中國償二代二期</w:t>
            </w:r>
          </w:p>
        </w:tc>
        <w:tc>
          <w:tcPr>
            <w:tcW w:type="dxa" w:w="1994"/>
          </w:tcPr>
          <w:p>
            <w:r>
              <w:rPr>
                <w:b/>
                <w:sz w:val="18"/>
              </w:rPr>
            </w:r>
            <w:r>
              <w:rPr>
                <w:b/>
                <w:sz w:val="18"/>
              </w:rPr>
              <w:t>歐盟 Solvency II</w:t>
            </w:r>
          </w:p>
        </w:tc>
        <w:tc>
          <w:tcPr>
            <w:tcW w:type="dxa" w:w="1994"/>
          </w:tcPr>
          <w:p>
            <w:r>
              <w:rPr>
                <w:b/>
                <w:sz w:val="18"/>
              </w:rPr>
            </w:r>
            <w:r>
              <w:rPr>
                <w:b/>
                <w:sz w:val="18"/>
              </w:rPr>
              <w:t>美國 NAIC RBC</w:t>
            </w:r>
          </w:p>
        </w:tc>
        <w:tc>
          <w:tcPr>
            <w:tcW w:type="dxa" w:w="1994"/>
          </w:tcPr>
          <w:p>
            <w:r>
              <w:rPr>
                <w:b/>
                <w:sz w:val="18"/>
              </w:rPr>
            </w:r>
            <w:r>
              <w:rPr>
                <w:b/>
                <w:sz w:val="18"/>
              </w:rPr>
              <w:t>台灣 TW-ICS（2026 上路）</w:t>
            </w:r>
          </w:p>
        </w:tc>
      </w:tr>
      <w:tr>
        <w:tc>
          <w:tcPr>
            <w:tcW w:type="dxa" w:w="1994"/>
          </w:tcPr>
          <w:p>
            <w:r>
              <w:rPr>
                <w:sz w:val="18"/>
              </w:rPr>
            </w:r>
            <w:r>
              <w:rPr>
                <w:sz w:val="18"/>
              </w:rPr>
              <w:t>資本層次</w:t>
            </w:r>
          </w:p>
        </w:tc>
        <w:tc>
          <w:tcPr>
            <w:tcW w:type="dxa" w:w="1994"/>
          </w:tcPr>
          <w:p>
            <w:r>
              <w:rPr>
                <w:sz w:val="18"/>
              </w:rPr>
            </w:r>
            <w:r>
              <w:rPr>
                <w:sz w:val="18"/>
              </w:rPr>
              <w:t>核心 50%／綜合 100% + 評級 B</w:t>
            </w:r>
          </w:p>
        </w:tc>
        <w:tc>
          <w:tcPr>
            <w:tcW w:type="dxa" w:w="1994"/>
          </w:tcPr>
          <w:p>
            <w:r>
              <w:rPr>
                <w:sz w:val="18"/>
              </w:rPr>
            </w:r>
            <w:r>
              <w:rPr>
                <w:sz w:val="18"/>
              </w:rPr>
              <w:t>SCR 100%／MCR 100%</w:t>
            </w:r>
          </w:p>
        </w:tc>
        <w:tc>
          <w:tcPr>
            <w:tcW w:type="dxa" w:w="1994"/>
          </w:tcPr>
          <w:p>
            <w:r>
              <w:rPr>
                <w:sz w:val="18"/>
              </w:rPr>
            </w:r>
            <w:r>
              <w:rPr>
                <w:sz w:val="18"/>
              </w:rPr>
              <w:t>單一 RBC 比率，四級行動</w:t>
            </w:r>
          </w:p>
        </w:tc>
        <w:tc>
          <w:tcPr>
            <w:tcW w:type="dxa" w:w="1994"/>
          </w:tcPr>
          <w:p>
            <w:r>
              <w:rPr>
                <w:sz w:val="18"/>
              </w:rPr>
            </w:r>
            <w:r>
              <w:rPr>
                <w:sz w:val="18"/>
              </w:rPr>
              <w:t>資本適足率 100%（取代原 RBC 200%）</w:t>
            </w:r>
          </w:p>
        </w:tc>
      </w:tr>
      <w:tr>
        <w:tc>
          <w:tcPr>
            <w:tcW w:type="dxa" w:w="1994"/>
          </w:tcPr>
          <w:p>
            <w:r>
              <w:rPr>
                <w:sz w:val="18"/>
              </w:rPr>
            </w:r>
            <w:r>
              <w:rPr>
                <w:sz w:val="18"/>
              </w:rPr>
              <w:t>校準</w:t>
            </w:r>
          </w:p>
        </w:tc>
        <w:tc>
          <w:tcPr>
            <w:tcW w:type="dxa" w:w="1994"/>
          </w:tcPr>
          <w:p>
            <w:r>
              <w:rPr>
                <w:sz w:val="18"/>
              </w:rPr>
            </w:r>
            <w:r>
              <w:rPr>
                <w:sz w:val="18"/>
              </w:rPr>
              <w:t>因子法為主</w:t>
            </w:r>
          </w:p>
        </w:tc>
        <w:tc>
          <w:tcPr>
            <w:tcW w:type="dxa" w:w="1994"/>
          </w:tcPr>
          <w:p>
            <w:r>
              <w:rPr>
                <w:sz w:val="18"/>
              </w:rPr>
            </w:r>
            <w:r>
              <w:rPr>
                <w:sz w:val="18"/>
              </w:rPr>
              <w:t>標準公式，99.5% VaR、一年期</w:t>
            </w:r>
          </w:p>
        </w:tc>
        <w:tc>
          <w:tcPr>
            <w:tcW w:type="dxa" w:w="1994"/>
          </w:tcPr>
          <w:p>
            <w:r>
              <w:rPr>
                <w:sz w:val="18"/>
              </w:rPr>
            </w:r>
            <w:r>
              <w:rPr>
                <w:sz w:val="18"/>
              </w:rPr>
              <w:t>因子法</w:t>
            </w:r>
          </w:p>
        </w:tc>
        <w:tc>
          <w:tcPr>
            <w:tcW w:type="dxa" w:w="1994"/>
          </w:tcPr>
          <w:p>
            <w:r>
              <w:rPr>
                <w:sz w:val="18"/>
              </w:rPr>
            </w:r>
            <w:r>
              <w:rPr>
                <w:sz w:val="18"/>
              </w:rPr>
              <w:t>ICS 2.0 標準法 + 在地化</w:t>
            </w:r>
          </w:p>
        </w:tc>
      </w:tr>
      <w:tr>
        <w:tc>
          <w:tcPr>
            <w:tcW w:type="dxa" w:w="1994"/>
          </w:tcPr>
          <w:p>
            <w:r>
              <w:rPr>
                <w:sz w:val="18"/>
              </w:rPr>
            </w:r>
            <w:r>
              <w:rPr>
                <w:sz w:val="18"/>
              </w:rPr>
              <w:t>風險分類</w:t>
            </w:r>
          </w:p>
        </w:tc>
        <w:tc>
          <w:tcPr>
            <w:tcW w:type="dxa" w:w="1994"/>
          </w:tcPr>
          <w:p>
            <w:r>
              <w:rPr>
                <w:sz w:val="18"/>
              </w:rPr>
            </w:r>
            <w:r>
              <w:rPr>
                <w:sz w:val="18"/>
              </w:rPr>
              <w:t>保險／市場（含集中度）／信用／控制／附加</w:t>
            </w:r>
          </w:p>
        </w:tc>
        <w:tc>
          <w:tcPr>
            <w:tcW w:type="dxa" w:w="1994"/>
          </w:tcPr>
          <w:p>
            <w:r>
              <w:rPr>
                <w:sz w:val="18"/>
              </w:rPr>
            </w:r>
            <w:r>
              <w:rPr>
                <w:sz w:val="18"/>
              </w:rPr>
              <w:t>市場／對手違約／壽險／非壽險／健康／操作</w:t>
            </w:r>
          </w:p>
        </w:tc>
        <w:tc>
          <w:tcPr>
            <w:tcW w:type="dxa" w:w="1994"/>
          </w:tcPr>
          <w:p>
            <w:r>
              <w:rPr>
                <w:sz w:val="18"/>
              </w:rPr>
            </w:r>
            <w:r>
              <w:rPr>
                <w:sz w:val="18"/>
              </w:rPr>
              <w:t>C-0～C-4（資產、保險、利率、業務）</w:t>
            </w:r>
          </w:p>
        </w:tc>
        <w:tc>
          <w:tcPr>
            <w:tcW w:type="dxa" w:w="1994"/>
          </w:tcPr>
          <w:p>
            <w:r>
              <w:rPr>
                <w:sz w:val="18"/>
              </w:rPr>
            </w:r>
            <w:r>
              <w:rPr>
                <w:sz w:val="18"/>
              </w:rPr>
              <w:t>市場／信用／核保／作業 + 新興風險（長壽、脫退、費用、巨災）15 年過渡</w:t>
            </w:r>
          </w:p>
        </w:tc>
      </w:tr>
      <w:tr>
        <w:tc>
          <w:tcPr>
            <w:tcW w:type="dxa" w:w="1994"/>
          </w:tcPr>
          <w:p>
            <w:r>
              <w:rPr>
                <w:sz w:val="18"/>
              </w:rPr>
            </w:r>
            <w:r>
              <w:rPr>
                <w:sz w:val="18"/>
              </w:rPr>
              <w:t>監管觸發</w:t>
            </w:r>
          </w:p>
        </w:tc>
        <w:tc>
          <w:tcPr>
            <w:tcW w:type="dxa" w:w="1994"/>
          </w:tcPr>
          <w:p>
            <w:r>
              <w:rPr>
                <w:sz w:val="18"/>
              </w:rPr>
            </w:r>
            <w:r>
              <w:rPr>
                <w:sz w:val="18"/>
              </w:rPr>
              <w:t>三線</w:t>
            </w:r>
          </w:p>
        </w:tc>
        <w:tc>
          <w:tcPr>
            <w:tcW w:type="dxa" w:w="1994"/>
          </w:tcPr>
          <w:p>
            <w:r>
              <w:rPr>
                <w:sz w:val="18"/>
              </w:rPr>
            </w:r>
            <w:r>
              <w:rPr>
                <w:sz w:val="18"/>
              </w:rPr>
              <w:t>SCR 未達→介入；MCR 未達→撤照</w:t>
            </w:r>
          </w:p>
        </w:tc>
        <w:tc>
          <w:tcPr>
            <w:tcW w:type="dxa" w:w="1994"/>
          </w:tcPr>
          <w:p>
            <w:r>
              <w:rPr>
                <w:sz w:val="18"/>
              </w:rPr>
            </w:r>
            <w:r>
              <w:rPr>
                <w:sz w:val="18"/>
              </w:rPr>
              <w:t>200%／150%／100%／70% ACL 四級</w:t>
            </w:r>
          </w:p>
        </w:tc>
        <w:tc>
          <w:tcPr>
            <w:tcW w:type="dxa" w:w="1994"/>
          </w:tcPr>
          <w:p>
            <w:r>
              <w:rPr>
                <w:sz w:val="18"/>
              </w:rPr>
            </w:r>
            <w:r>
              <w:rPr>
                <w:sz w:val="18"/>
              </w:rPr>
              <w:t>100% 底線；新興風險資本 15 年線性遞增至 2041</w:t>
            </w:r>
          </w:p>
        </w:tc>
      </w:tr>
      <w:tr>
        <w:tc>
          <w:tcPr>
            <w:tcW w:type="dxa" w:w="1994"/>
          </w:tcPr>
          <w:p>
            <w:r>
              <w:rPr>
                <w:sz w:val="18"/>
              </w:rPr>
            </w:r>
            <w:r>
              <w:rPr>
                <w:sz w:val="18"/>
              </w:rPr>
              <w:t>權益因子</w:t>
            </w:r>
          </w:p>
        </w:tc>
        <w:tc>
          <w:tcPr>
            <w:tcW w:type="dxa" w:w="1994"/>
          </w:tcPr>
          <w:p>
            <w:r>
              <w:rPr>
                <w:sz w:val="18"/>
              </w:rPr>
            </w:r>
            <w:r>
              <w:rPr>
                <w:sz w:val="18"/>
              </w:rPr>
              <w:t>滬深 300 0.27～0.30、科創板 0.36～0.40、未上市 0.41、非保險子公司 1.0</w:t>
            </w:r>
          </w:p>
        </w:tc>
        <w:tc>
          <w:tcPr>
            <w:tcW w:type="dxa" w:w="1994"/>
          </w:tcPr>
          <w:p>
            <w:r>
              <w:rPr>
                <w:sz w:val="18"/>
              </w:rPr>
            </w:r>
            <w:r>
              <w:rPr>
                <w:sz w:val="18"/>
              </w:rPr>
              <w:t>Type 1 39%、Type 2 49%，對稱調整區間 2025 年修訂後 ±13%，長期權益投資（LTEI）優惠 22%</w:t>
            </w:r>
          </w:p>
        </w:tc>
        <w:tc>
          <w:tcPr>
            <w:tcW w:type="dxa" w:w="1994"/>
          </w:tcPr>
          <w:p>
            <w:r>
              <w:rPr>
                <w:sz w:val="18"/>
              </w:rPr>
            </w:r>
            <w:r>
              <w:rPr>
                <w:sz w:val="18"/>
              </w:rPr>
              <w:t>普通股 C-1 基準 30%（依 beta 在 22.5%～45% 之間）；2021 年債券因子由 6 級細化為 20 級</w:t>
            </w:r>
          </w:p>
        </w:tc>
        <w:tc>
          <w:tcPr>
            <w:tcW w:type="dxa" w:w="1994"/>
          </w:tcPr>
          <w:p>
            <w:r>
              <w:rPr>
                <w:sz w:val="18"/>
              </w:rPr>
            </w:r>
            <w:r>
              <w:rPr>
                <w:sz w:val="18"/>
              </w:rPr>
              <w:t xml:space="preserve">上市股票 </w:t>
            </w:r>
            <w:r>
              <w:rPr>
                <w:b/>
                <w:sz w:val="18"/>
              </w:rPr>
              <w:t>35%</w:t>
            </w:r>
            <w:r>
              <w:rPr>
                <w:sz w:val="18"/>
              </w:rPr>
              <w:t xml:space="preserve">（ICS 原始 48%，在地化比照已開發市場）、不動產 </w:t>
            </w:r>
            <w:r>
              <w:rPr>
                <w:b/>
                <w:sz w:val="18"/>
              </w:rPr>
              <w:t>15%</w:t>
            </w:r>
            <w:r>
              <w:rPr>
                <w:sz w:val="18"/>
              </w:rPr>
              <w:t>（原 25%）、政策性公建前 5 年沿用 RBC 的 1.28%、海外私募基金可申請按 90% 計</w:t>
            </w:r>
          </w:p>
        </w:tc>
      </w:tr>
      <w:tr>
        <w:tc>
          <w:tcPr>
            <w:tcW w:type="dxa" w:w="1994"/>
          </w:tcPr>
          <w:p>
            <w:r>
              <w:rPr>
                <w:sz w:val="18"/>
              </w:rPr>
            </w:r>
            <w:r>
              <w:rPr>
                <w:sz w:val="18"/>
              </w:rPr>
              <w:t>折現曲線</w:t>
            </w:r>
          </w:p>
        </w:tc>
        <w:tc>
          <w:tcPr>
            <w:tcW w:type="dxa" w:w="1994"/>
          </w:tcPr>
          <w:p>
            <w:r>
              <w:rPr>
                <w:sz w:val="18"/>
              </w:rPr>
            </w:r>
            <w:r>
              <w:rPr>
                <w:sz w:val="18"/>
              </w:rPr>
              <w:t>償付能力口徑 60 日均線 + 終極利率 4.5%（會計口徑 750 日均線 + 綜合溢價上限 120bp）</w:t>
            </w:r>
          </w:p>
        </w:tc>
        <w:tc>
          <w:tcPr>
            <w:tcW w:type="dxa" w:w="1994"/>
          </w:tcPr>
          <w:p>
            <w:r>
              <w:rPr>
                <w:sz w:val="18"/>
              </w:rPr>
            </w:r>
            <w:r>
              <w:rPr>
                <w:sz w:val="18"/>
              </w:rPr>
              <w:t>EIOPA 無風險曲線 + 波動調整</w:t>
            </w:r>
          </w:p>
        </w:tc>
        <w:tc>
          <w:tcPr>
            <w:tcW w:type="dxa" w:w="1994"/>
          </w:tcPr>
          <w:p>
            <w:r>
              <w:rPr>
                <w:sz w:val="18"/>
              </w:rPr>
            </w:r>
            <w:r>
              <w:rPr>
                <w:sz w:val="18"/>
              </w:rPr>
              <w:t>法定評估利率</w:t>
            </w:r>
          </w:p>
        </w:tc>
        <w:tc>
          <w:tcPr>
            <w:tcW w:type="dxa" w:w="1994"/>
          </w:tcPr>
          <w:p>
            <w:r>
              <w:rPr>
                <w:sz w:val="18"/>
              </w:rPr>
            </w:r>
            <w:r>
              <w:rPr>
                <w:sz w:val="18"/>
              </w:rPr>
              <w:t>三段式無風險曲線（Smith-Wilson 外插）+ 流動性貼水（三桶法；6% 以上高利率老保單貼水上限 50bp）</w:t>
            </w:r>
          </w:p>
        </w:tc>
      </w:tr>
      <w:tr>
        <w:tc>
          <w:tcPr>
            <w:tcW w:type="dxa" w:w="1994"/>
          </w:tcPr>
          <w:p>
            <w:r>
              <w:rPr>
                <w:sz w:val="18"/>
              </w:rPr>
            </w:r>
            <w:r>
              <w:rPr>
                <w:sz w:val="18"/>
              </w:rPr>
              <w:t>穿透</w:t>
            </w:r>
          </w:p>
        </w:tc>
        <w:tc>
          <w:tcPr>
            <w:tcW w:type="dxa" w:w="1994"/>
          </w:tcPr>
          <w:p>
            <w:r>
              <w:rPr>
                <w:sz w:val="18"/>
              </w:rPr>
            </w:r>
            <w:r>
              <w:rPr>
                <w:sz w:val="18"/>
              </w:rPr>
              <w:t>應穿盡穿，兜底 0.6</w:t>
            </w:r>
          </w:p>
        </w:tc>
        <w:tc>
          <w:tcPr>
            <w:tcW w:type="dxa" w:w="1994"/>
          </w:tcPr>
          <w:p>
            <w:r>
              <w:rPr>
                <w:sz w:val="18"/>
              </w:rPr>
            </w:r>
            <w:r>
              <w:rPr>
                <w:sz w:val="18"/>
              </w:rPr>
              <w:t>look-through</w:t>
            </w:r>
          </w:p>
        </w:tc>
        <w:tc>
          <w:tcPr>
            <w:tcW w:type="dxa" w:w="1994"/>
          </w:tcPr>
          <w:p>
            <w:r>
              <w:rPr>
                <w:sz w:val="18"/>
              </w:rPr>
            </w:r>
            <w:r>
              <w:rPr>
                <w:sz w:val="18"/>
              </w:rPr>
              <w:t>較少</w:t>
            </w:r>
          </w:p>
        </w:tc>
        <w:tc>
          <w:tcPr>
            <w:tcW w:type="dxa" w:w="1994"/>
          </w:tcPr>
          <w:p>
            <w:r>
              <w:rPr>
                <w:sz w:val="18"/>
              </w:rPr>
            </w:r>
            <w:r>
              <w:rPr>
                <w:sz w:val="18"/>
              </w:rPr>
              <w:t>依 ICS</w:t>
            </w:r>
          </w:p>
        </w:tc>
      </w:tr>
      <w:tr>
        <w:tc>
          <w:tcPr>
            <w:tcW w:type="dxa" w:w="1994"/>
          </w:tcPr>
          <w:p>
            <w:r>
              <w:rPr>
                <w:sz w:val="18"/>
              </w:rPr>
            </w:r>
            <w:r>
              <w:rPr>
                <w:sz w:val="18"/>
              </w:rPr>
              <w:t>過渡期</w:t>
            </w:r>
          </w:p>
        </w:tc>
        <w:tc>
          <w:tcPr>
            <w:tcW w:type="dxa" w:w="1994"/>
          </w:tcPr>
          <w:p>
            <w:r>
              <w:rPr>
                <w:sz w:val="18"/>
              </w:rPr>
            </w:r>
            <w:r>
              <w:rPr>
                <w:sz w:val="18"/>
              </w:rPr>
              <w:t>3+1 年，2026 全面執行</w:t>
            </w:r>
          </w:p>
        </w:tc>
        <w:tc>
          <w:tcPr>
            <w:tcW w:type="dxa" w:w="1994"/>
          </w:tcPr>
          <w:p>
            <w:r>
              <w:rPr>
                <w:sz w:val="18"/>
              </w:rPr>
            </w:r>
            <w:r>
              <w:rPr>
                <w:sz w:val="18"/>
              </w:rPr>
              <w:t>各國自訂</w:t>
            </w:r>
          </w:p>
        </w:tc>
        <w:tc>
          <w:tcPr>
            <w:tcW w:type="dxa" w:w="1994"/>
          </w:tcPr>
          <w:p>
            <w:r>
              <w:rPr>
                <w:sz w:val="18"/>
              </w:rPr>
            </w:r>
            <w:r>
              <w:rPr>
                <w:sz w:val="18"/>
              </w:rPr>
              <w:t>無</w:t>
            </w:r>
          </w:p>
        </w:tc>
        <w:tc>
          <w:tcPr>
            <w:tcW w:type="dxa" w:w="1994"/>
          </w:tcPr>
          <w:p>
            <w:r>
              <w:rPr>
                <w:sz w:val="18"/>
              </w:rPr>
            </w:r>
            <w:r>
              <w:rPr>
                <w:sz w:val="18"/>
              </w:rPr>
              <w:t>15 年：新興風險（長壽、脫退、費用、巨災、非違約利差）第 1 年 0%、每年線性遞增到第 15 年 100%；RBC ≥250% 的公司以 ICS 125% 為基準分 15 年攤、&lt;250% 的公司 5 年內補齊；金管會 2025 年 9 月評估「加速攤還」</w:t>
            </w:r>
          </w:p>
        </w:tc>
      </w:tr>
    </w:tbl>
    <w:p/>
    <w:p>
      <w:r>
        <w:rPr>
          <w:b/>
        </w:rPr>
        <w:t>對台灣讀者的重點</w:t>
      </w:r>
      <w:r>
        <w:t>：台灣選擇 15 年線性過渡、把長壽等新興風險資本要求從 0% 慢慢加到 100%；中國選擇 3+1 年就全面執行、再用財政注資和因子放鬆做緩衝。兩邊的壽險業都面臨同樣的核心問題：長久期保證型負債在低利率下的資本消耗。台灣在地化最關鍵的一筆是把上市股票因子從 ICS 的 48% 降到 35%，理由是台股波動已接近已開發市場；這與中國把滬深 300 因子從 0.35 一路降到 0.27 是同一種政策思路，兩邊監管都在用「因子」替壽險業的權益投資鬆綁。台灣 2026 年首季各公司 ICS 比率與偏低名單未找到。</w:t>
      </w:r>
    </w:p>
    <w:p>
      <w:pPr>
        <w:pStyle w:val="Heading3"/>
      </w:pPr>
      <w:r>
        <w:t>七、學界與業界評價</w:t>
      </w:r>
    </w:p>
    <w:p>
      <w:pPr>
        <w:pStyle w:val="ListBullet"/>
      </w:pPr>
      <w:r>
        <w:t>正面：Geneva Papers 的比較研究認為 C-ROSS 明顯優於美國 RBC、與 Solvency II 及瑞士 SST 相當；三支柱完整。</w:t>
      </w:r>
    </w:p>
    <w:p>
      <w:pPr>
        <w:pStyle w:val="ListBullet"/>
      </w:pPr>
      <w:r>
        <w:t>負面：另一實證研究指出 RBC、Solvency II、C-ROSS 三套資本要求之間存在大規模不一致，因子校準受各市場資產結構驅動；業界抱怨 750 日曲線順週期（低利率→補提準備金→侵蝕淨資產→侵蝕償付能力）、非標兜底因子一刀切、中小公司短期補血壓力驟增。</w:t>
      </w:r>
    </w:p>
    <w:p>
      <w:pPr>
        <w:pStyle w:val="Heading2"/>
      </w:pPr>
      <w:r>
        <w:t>第五章　壽險公司全面投入養老園區的戰略分析</w:t>
      </w:r>
    </w:p>
    <w:p>
      <w:pPr>
        <w:pStyle w:val="Heading3"/>
      </w:pPr>
      <w:r>
        <w:t>一、各家布局</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公司／品牌</w:t>
            </w:r>
          </w:p>
        </w:tc>
        <w:tc>
          <w:tcPr>
            <w:tcW w:type="dxa" w:w="1994"/>
          </w:tcPr>
          <w:p>
            <w:r>
              <w:rPr>
                <w:b/>
                <w:sz w:val="18"/>
              </w:rPr>
            </w:r>
            <w:r>
              <w:rPr>
                <w:b/>
                <w:sz w:val="18"/>
              </w:rPr>
              <w:t>布局</w:t>
            </w:r>
          </w:p>
        </w:tc>
        <w:tc>
          <w:tcPr>
            <w:tcW w:type="dxa" w:w="1994"/>
          </w:tcPr>
          <w:p>
            <w:r>
              <w:rPr>
                <w:b/>
                <w:sz w:val="18"/>
              </w:rPr>
            </w:r>
            <w:r>
              <w:rPr>
                <w:b/>
                <w:sz w:val="18"/>
              </w:rPr>
              <w:t>模式</w:t>
            </w:r>
          </w:p>
        </w:tc>
        <w:tc>
          <w:tcPr>
            <w:tcW w:type="dxa" w:w="1994"/>
          </w:tcPr>
          <w:p>
            <w:r>
              <w:rPr>
                <w:b/>
                <w:sz w:val="18"/>
              </w:rPr>
            </w:r>
            <w:r>
              <w:rPr>
                <w:b/>
                <w:sz w:val="18"/>
              </w:rPr>
              <w:t>保單門檻</w:t>
            </w:r>
          </w:p>
        </w:tc>
        <w:tc>
          <w:tcPr>
            <w:tcW w:type="dxa" w:w="1994"/>
          </w:tcPr>
          <w:p>
            <w:r>
              <w:rPr>
                <w:b/>
                <w:sz w:val="18"/>
              </w:rPr>
            </w:r>
            <w:r>
              <w:rPr>
                <w:b/>
                <w:sz w:val="18"/>
              </w:rPr>
              <w:t>可查得的財務訊息</w:t>
            </w:r>
          </w:p>
        </w:tc>
      </w:tr>
      <w:tr>
        <w:tc>
          <w:tcPr>
            <w:tcW w:type="dxa" w:w="1994"/>
          </w:tcPr>
          <w:p>
            <w:r>
              <w:rPr>
                <w:sz w:val="18"/>
              </w:rPr>
            </w:r>
            <w:r>
              <w:rPr>
                <w:sz w:val="18"/>
              </w:rPr>
              <w:t>泰康之家</w:t>
            </w:r>
          </w:p>
        </w:tc>
        <w:tc>
          <w:tcPr>
            <w:tcW w:type="dxa" w:w="1994"/>
          </w:tcPr>
          <w:p>
            <w:r>
              <w:rPr>
                <w:sz w:val="18"/>
              </w:rPr>
            </w:r>
            <w:r>
              <w:rPr>
                <w:sz w:val="18"/>
              </w:rPr>
              <w:t>37 城 47 項目（2026 初）、24 家已運營、規劃 43,100 個養老單元 + 2,100 張醫療床位、規劃投資逾 2,000 億、已投超 600 億</w:t>
            </w:r>
          </w:p>
        </w:tc>
        <w:tc>
          <w:tcPr>
            <w:tcW w:type="dxa" w:w="1994"/>
          </w:tcPr>
          <w:p>
            <w:r>
              <w:rPr>
                <w:sz w:val="18"/>
              </w:rPr>
            </w:r>
            <w:r>
              <w:rPr>
                <w:sz w:val="18"/>
              </w:rPr>
              <w:t>重資產自建 CCRC</w:t>
            </w:r>
          </w:p>
        </w:tc>
        <w:tc>
          <w:tcPr>
            <w:tcW w:type="dxa" w:w="1994"/>
          </w:tcPr>
          <w:p>
            <w:r>
              <w:rPr>
                <w:sz w:val="18"/>
              </w:rPr>
            </w:r>
            <w:r>
              <w:rPr>
                <w:sz w:val="18"/>
              </w:rPr>
              <w:t>總保費 200 萬起，80 歲前保證入住</w:t>
            </w:r>
          </w:p>
        </w:tc>
        <w:tc>
          <w:tcPr>
            <w:tcW w:type="dxa" w:w="1994"/>
          </w:tcPr>
          <w:p>
            <w:r>
              <w:rPr>
                <w:sz w:val="18"/>
              </w:rPr>
            </w:r>
            <w:r>
              <w:rPr>
                <w:sz w:val="18"/>
              </w:rPr>
              <w:t>燕園月費 1.15～3.22 萬；醫養板塊 2023、2024 年運營成本仍高於收入；帶動 23 萬客戶購保、預計撬動 4,600 億保費</w:t>
            </w:r>
          </w:p>
        </w:tc>
      </w:tr>
      <w:tr>
        <w:tc>
          <w:tcPr>
            <w:tcW w:type="dxa" w:w="1994"/>
          </w:tcPr>
          <w:p>
            <w:r>
              <w:rPr>
                <w:sz w:val="18"/>
              </w:rPr>
            </w:r>
            <w:r>
              <w:rPr>
                <w:sz w:val="18"/>
              </w:rPr>
              <w:t>國壽嘉園</w:t>
            </w:r>
          </w:p>
        </w:tc>
        <w:tc>
          <w:tcPr>
            <w:tcW w:type="dxa" w:w="1994"/>
          </w:tcPr>
          <w:p>
            <w:r>
              <w:rPr>
                <w:sz w:val="18"/>
              </w:rPr>
            </w:r>
            <w:r>
              <w:rPr>
                <w:sz w:val="18"/>
              </w:rPr>
              <w:t>10～15 城、18 個項目、床位 7,700～8,700 張</w:t>
            </w:r>
          </w:p>
        </w:tc>
        <w:tc>
          <w:tcPr>
            <w:tcW w:type="dxa" w:w="1994"/>
          </w:tcPr>
          <w:p>
            <w:r>
              <w:rPr>
                <w:sz w:val="18"/>
              </w:rPr>
            </w:r>
            <w:r>
              <w:rPr>
                <w:sz w:val="18"/>
              </w:rPr>
              <w:t>重資產 + 城心公寓 + 旅居</w:t>
            </w:r>
          </w:p>
        </w:tc>
        <w:tc>
          <w:tcPr>
            <w:tcW w:type="dxa" w:w="1994"/>
          </w:tcPr>
          <w:p>
            <w:r>
              <w:rPr>
                <w:sz w:val="18"/>
              </w:rPr>
            </w:r>
            <w:r>
              <w:rPr>
                <w:sz w:val="18"/>
              </w:rPr>
              <w:t>未找到</w:t>
            </w:r>
          </w:p>
        </w:tc>
        <w:tc>
          <w:tcPr>
            <w:tcW w:type="dxa" w:w="1994"/>
          </w:tcPr>
          <w:p>
            <w:r>
              <w:rPr>
                <w:sz w:val="18"/>
              </w:rPr>
            </w:r>
            <w:r>
              <w:rPr>
                <w:sz w:val="18"/>
              </w:rPr>
              <w:t>未找到</w:t>
            </w:r>
          </w:p>
        </w:tc>
      </w:tr>
      <w:tr>
        <w:tc>
          <w:tcPr>
            <w:tcW w:type="dxa" w:w="1994"/>
          </w:tcPr>
          <w:p>
            <w:r>
              <w:rPr>
                <w:sz w:val="18"/>
              </w:rPr>
            </w:r>
            <w:r>
              <w:rPr>
                <w:sz w:val="18"/>
              </w:rPr>
              <w:t>太保家園</w:t>
            </w:r>
          </w:p>
        </w:tc>
        <w:tc>
          <w:tcPr>
            <w:tcW w:type="dxa" w:w="1994"/>
          </w:tcPr>
          <w:p>
            <w:r>
              <w:rPr>
                <w:sz w:val="18"/>
              </w:rPr>
            </w:r>
            <w:r>
              <w:rPr>
                <w:sz w:val="18"/>
              </w:rPr>
              <w:t>上海、杭州、南京、武漢、北京等，已開業床位超 3,000 張、投資床位超 14,000 張</w:t>
            </w:r>
          </w:p>
        </w:tc>
        <w:tc>
          <w:tcPr>
            <w:tcW w:type="dxa" w:w="1994"/>
          </w:tcPr>
          <w:p>
            <w:r>
              <w:rPr>
                <w:sz w:val="18"/>
              </w:rPr>
            </w:r>
            <w:r>
              <w:rPr>
                <w:sz w:val="18"/>
              </w:rPr>
              <w:t>重資產</w:t>
            </w:r>
          </w:p>
        </w:tc>
        <w:tc>
          <w:tcPr>
            <w:tcW w:type="dxa" w:w="1994"/>
          </w:tcPr>
          <w:p>
            <w:r>
              <w:rPr>
                <w:sz w:val="18"/>
              </w:rPr>
            </w:r>
            <w:r>
              <w:rPr>
                <w:sz w:val="18"/>
              </w:rPr>
              <w:t>未找到</w:t>
            </w:r>
          </w:p>
        </w:tc>
        <w:tc>
          <w:tcPr>
            <w:tcW w:type="dxa" w:w="1994"/>
          </w:tcPr>
          <w:p>
            <w:r>
              <w:rPr>
                <w:sz w:val="18"/>
              </w:rPr>
            </w:r>
            <w:r>
              <w:rPr>
                <w:sz w:val="18"/>
              </w:rPr>
              <w:t>未找到</w:t>
            </w:r>
          </w:p>
        </w:tc>
      </w:tr>
      <w:tr>
        <w:tc>
          <w:tcPr>
            <w:tcW w:type="dxa" w:w="1994"/>
          </w:tcPr>
          <w:p>
            <w:r>
              <w:rPr>
                <w:sz w:val="18"/>
              </w:rPr>
            </w:r>
            <w:r>
              <w:rPr>
                <w:sz w:val="18"/>
              </w:rPr>
              <w:t>平安臻頤年</w:t>
            </w:r>
          </w:p>
        </w:tc>
        <w:tc>
          <w:tcPr>
            <w:tcW w:type="dxa" w:w="1994"/>
          </w:tcPr>
          <w:p>
            <w:r>
              <w:rPr>
                <w:sz w:val="18"/>
              </w:rPr>
            </w:r>
            <w:r>
              <w:rPr>
                <w:sz w:val="18"/>
              </w:rPr>
              <w:t>深圳、上海、廣州、杭州</w:t>
            </w:r>
          </w:p>
        </w:tc>
        <w:tc>
          <w:tcPr>
            <w:tcW w:type="dxa" w:w="1994"/>
          </w:tcPr>
          <w:p>
            <w:r>
              <w:rPr>
                <w:sz w:val="18"/>
              </w:rPr>
            </w:r>
            <w:r>
              <w:rPr>
                <w:sz w:val="18"/>
              </w:rPr>
              <w:t>城心高端</w:t>
            </w:r>
          </w:p>
        </w:tc>
        <w:tc>
          <w:tcPr>
            <w:tcW w:type="dxa" w:w="1994"/>
          </w:tcPr>
          <w:p>
            <w:r>
              <w:rPr>
                <w:sz w:val="18"/>
              </w:rPr>
            </w:r>
            <w:r>
              <w:rPr>
                <w:sz w:val="18"/>
              </w:rPr>
              <w:t>未找到</w:t>
            </w:r>
          </w:p>
        </w:tc>
        <w:tc>
          <w:tcPr>
            <w:tcW w:type="dxa" w:w="1994"/>
          </w:tcPr>
          <w:p>
            <w:r>
              <w:rPr>
                <w:sz w:val="18"/>
              </w:rPr>
            </w:r>
            <w:r>
              <w:rPr>
                <w:sz w:val="18"/>
              </w:rPr>
              <w:t>未找到</w:t>
            </w:r>
          </w:p>
        </w:tc>
      </w:tr>
      <w:tr>
        <w:tc>
          <w:tcPr>
            <w:tcW w:type="dxa" w:w="1994"/>
          </w:tcPr>
          <w:p>
            <w:r>
              <w:rPr>
                <w:sz w:val="18"/>
              </w:rPr>
            </w:r>
            <w:r>
              <w:rPr>
                <w:sz w:val="18"/>
              </w:rPr>
              <w:t>新華家園</w:t>
            </w:r>
          </w:p>
        </w:tc>
        <w:tc>
          <w:tcPr>
            <w:tcW w:type="dxa" w:w="1994"/>
          </w:tcPr>
          <w:p>
            <w:r>
              <w:rPr>
                <w:sz w:val="18"/>
              </w:rPr>
            </w:r>
            <w:r>
              <w:rPr>
                <w:sz w:val="18"/>
              </w:rPr>
              <w:t>北京蓮花池（360 床）、延慶（3,200 床）、博鰲</w:t>
            </w:r>
          </w:p>
        </w:tc>
        <w:tc>
          <w:tcPr>
            <w:tcW w:type="dxa" w:w="1994"/>
          </w:tcPr>
          <w:p>
            <w:r>
              <w:rPr>
                <w:sz w:val="18"/>
              </w:rPr>
            </w:r>
            <w:r>
              <w:rPr>
                <w:sz w:val="18"/>
              </w:rPr>
              <w:t>重資產</w:t>
            </w:r>
          </w:p>
        </w:tc>
        <w:tc>
          <w:tcPr>
            <w:tcW w:type="dxa" w:w="1994"/>
          </w:tcPr>
          <w:p>
            <w:r>
              <w:rPr>
                <w:sz w:val="18"/>
              </w:rPr>
            </w:r>
            <w:r>
              <w:rPr>
                <w:sz w:val="18"/>
              </w:rPr>
              <w:t>未找到</w:t>
            </w:r>
          </w:p>
        </w:tc>
        <w:tc>
          <w:tcPr>
            <w:tcW w:type="dxa" w:w="1994"/>
          </w:tcPr>
          <w:p>
            <w:r>
              <w:rPr>
                <w:sz w:val="18"/>
              </w:rPr>
            </w:r>
            <w:r>
              <w:rPr>
                <w:sz w:val="18"/>
              </w:rPr>
              <w:t>延慶 8,800 元／月起</w:t>
            </w:r>
          </w:p>
        </w:tc>
      </w:tr>
      <w:tr>
        <w:tc>
          <w:tcPr>
            <w:tcW w:type="dxa" w:w="1994"/>
          </w:tcPr>
          <w:p>
            <w:r>
              <w:rPr>
                <w:sz w:val="18"/>
              </w:rPr>
            </w:r>
            <w:r>
              <w:rPr>
                <w:sz w:val="18"/>
              </w:rPr>
              <w:t>太平樂享家</w:t>
            </w:r>
          </w:p>
        </w:tc>
        <w:tc>
          <w:tcPr>
            <w:tcW w:type="dxa" w:w="1994"/>
          </w:tcPr>
          <w:p>
            <w:r>
              <w:rPr>
                <w:sz w:val="18"/>
              </w:rPr>
            </w:r>
            <w:r>
              <w:rPr>
                <w:sz w:val="18"/>
              </w:rPr>
              <w:t>上海梧桐人家（1,500 套 + 900 護理床，投資約 40 億，建 6 年）、三亞、成都、廣州</w:t>
            </w:r>
          </w:p>
        </w:tc>
        <w:tc>
          <w:tcPr>
            <w:tcW w:type="dxa" w:w="1994"/>
          </w:tcPr>
          <w:p>
            <w:r>
              <w:rPr>
                <w:sz w:val="18"/>
              </w:rPr>
            </w:r>
            <w:r>
              <w:rPr>
                <w:sz w:val="18"/>
              </w:rPr>
              <w:t>重資產</w:t>
            </w:r>
          </w:p>
        </w:tc>
        <w:tc>
          <w:tcPr>
            <w:tcW w:type="dxa" w:w="1994"/>
          </w:tcPr>
          <w:p>
            <w:r>
              <w:rPr>
                <w:sz w:val="18"/>
              </w:rPr>
            </w:r>
            <w:r>
              <w:rPr>
                <w:sz w:val="18"/>
              </w:rPr>
              <w:t>未找到</w:t>
            </w:r>
          </w:p>
        </w:tc>
        <w:tc>
          <w:tcPr>
            <w:tcW w:type="dxa" w:w="1994"/>
          </w:tcPr>
          <w:p>
            <w:r>
              <w:rPr>
                <w:sz w:val="18"/>
              </w:rPr>
            </w:r>
            <w:r>
              <w:rPr>
                <w:sz w:val="18"/>
              </w:rPr>
              <w:t>未找到</w:t>
            </w:r>
          </w:p>
        </w:tc>
      </w:tr>
      <w:tr>
        <w:tc>
          <w:tcPr>
            <w:tcW w:type="dxa" w:w="1994"/>
          </w:tcPr>
          <w:p>
            <w:r>
              <w:rPr>
                <w:sz w:val="18"/>
              </w:rPr>
            </w:r>
            <w:r>
              <w:rPr>
                <w:sz w:val="18"/>
              </w:rPr>
              <w:t>大家的家</w:t>
            </w:r>
          </w:p>
        </w:tc>
        <w:tc>
          <w:tcPr>
            <w:tcW w:type="dxa" w:w="1994"/>
          </w:tcPr>
          <w:p>
            <w:r>
              <w:rPr>
                <w:sz w:val="18"/>
              </w:rPr>
            </w:r>
            <w:r>
              <w:rPr>
                <w:sz w:val="18"/>
              </w:rPr>
              <w:t>14 城 16 社區</w:t>
            </w:r>
          </w:p>
        </w:tc>
        <w:tc>
          <w:tcPr>
            <w:tcW w:type="dxa" w:w="1994"/>
          </w:tcPr>
          <w:p>
            <w:r>
              <w:rPr>
                <w:sz w:val="18"/>
              </w:rPr>
            </w:r>
            <w:r>
              <w:rPr>
                <w:b/>
                <w:sz w:val="18"/>
              </w:rPr>
              <w:t>輕資產城心</w:t>
            </w:r>
            <w:r>
              <w:rPr>
                <w:sz w:val="18"/>
              </w:rPr>
              <w:t>（租賃改建）</w:t>
            </w:r>
          </w:p>
        </w:tc>
        <w:tc>
          <w:tcPr>
            <w:tcW w:type="dxa" w:w="1994"/>
          </w:tcPr>
          <w:p>
            <w:r>
              <w:rPr>
                <w:sz w:val="18"/>
              </w:rPr>
            </w:r>
            <w:r>
              <w:rPr>
                <w:sz w:val="18"/>
              </w:rPr>
              <w:t>未找到</w:t>
            </w:r>
          </w:p>
        </w:tc>
        <w:tc>
          <w:tcPr>
            <w:tcW w:type="dxa" w:w="1994"/>
          </w:tcPr>
          <w:p>
            <w:r>
              <w:rPr>
                <w:sz w:val="18"/>
              </w:rPr>
            </w:r>
            <w:r>
              <w:rPr>
                <w:sz w:val="18"/>
              </w:rPr>
              <w:t>自稱一張床成本為重資產一半</w:t>
            </w:r>
          </w:p>
        </w:tc>
      </w:tr>
      <w:tr>
        <w:tc>
          <w:tcPr>
            <w:tcW w:type="dxa" w:w="1994"/>
          </w:tcPr>
          <w:p>
            <w:r>
              <w:rPr>
                <w:sz w:val="18"/>
              </w:rPr>
            </w:r>
            <w:r>
              <w:rPr>
                <w:sz w:val="18"/>
              </w:rPr>
              <w:t>光大永明</w:t>
            </w:r>
          </w:p>
        </w:tc>
        <w:tc>
          <w:tcPr>
            <w:tcW w:type="dxa" w:w="1994"/>
          </w:tcPr>
          <w:p>
            <w:r>
              <w:rPr>
                <w:sz w:val="18"/>
              </w:rPr>
            </w:r>
            <w:r>
              <w:rPr>
                <w:sz w:val="18"/>
              </w:rPr>
              <w:t>40 城、170 家機構、2.8 萬床</w:t>
            </w:r>
          </w:p>
        </w:tc>
        <w:tc>
          <w:tcPr>
            <w:tcW w:type="dxa" w:w="1994"/>
          </w:tcPr>
          <w:p>
            <w:r>
              <w:rPr>
                <w:sz w:val="18"/>
              </w:rPr>
            </w:r>
            <w:r>
              <w:rPr>
                <w:sz w:val="18"/>
              </w:rPr>
              <w:t>合作與委託運營為主</w:t>
            </w:r>
          </w:p>
        </w:tc>
        <w:tc>
          <w:tcPr>
            <w:tcW w:type="dxa" w:w="1994"/>
          </w:tcPr>
          <w:p>
            <w:r>
              <w:rPr>
                <w:sz w:val="18"/>
              </w:rPr>
            </w:r>
            <w:r>
              <w:rPr>
                <w:sz w:val="18"/>
              </w:rPr>
              <w:t>30 萬旅居／70 萬長居／100 萬全享</w:t>
            </w:r>
          </w:p>
        </w:tc>
        <w:tc>
          <w:tcPr>
            <w:tcW w:type="dxa" w:w="1994"/>
          </w:tcPr>
          <w:p>
            <w:r>
              <w:rPr>
                <w:sz w:val="18"/>
              </w:rPr>
            </w:r>
            <w:r>
              <w:rPr>
                <w:sz w:val="18"/>
              </w:rPr>
              <w:t>未找到</w:t>
            </w:r>
          </w:p>
        </w:tc>
      </w:tr>
      <w:tr>
        <w:tc>
          <w:tcPr>
            <w:tcW w:type="dxa" w:w="1994"/>
          </w:tcPr>
          <w:p>
            <w:r>
              <w:rPr>
                <w:sz w:val="18"/>
              </w:rPr>
            </w:r>
            <w:r>
              <w:rPr>
                <w:sz w:val="18"/>
              </w:rPr>
              <w:t>合眾優年</w:t>
            </w:r>
          </w:p>
        </w:tc>
        <w:tc>
          <w:tcPr>
            <w:tcW w:type="dxa" w:w="1994"/>
          </w:tcPr>
          <w:p>
            <w:r>
              <w:rPr>
                <w:sz w:val="18"/>
              </w:rPr>
            </w:r>
            <w:r>
              <w:rPr>
                <w:sz w:val="18"/>
              </w:rPr>
              <w:t>武漢、瀋陽、南寧 + 海外 56 家</w:t>
            </w:r>
          </w:p>
        </w:tc>
        <w:tc>
          <w:tcPr>
            <w:tcW w:type="dxa" w:w="1994"/>
          </w:tcPr>
          <w:p>
            <w:r>
              <w:rPr>
                <w:sz w:val="18"/>
              </w:rPr>
            </w:r>
            <w:r>
              <w:rPr>
                <w:sz w:val="18"/>
              </w:rPr>
              <w:t>重資產 + 海外收購</w:t>
            </w:r>
          </w:p>
        </w:tc>
        <w:tc>
          <w:tcPr>
            <w:tcW w:type="dxa" w:w="1994"/>
          </w:tcPr>
          <w:p>
            <w:r>
              <w:rPr>
                <w:sz w:val="18"/>
              </w:rPr>
            </w:r>
            <w:r>
              <w:rPr>
                <w:sz w:val="18"/>
              </w:rPr>
              <w:t>未找到</w:t>
            </w:r>
          </w:p>
        </w:tc>
        <w:tc>
          <w:tcPr>
            <w:tcW w:type="dxa" w:w="1994"/>
          </w:tcPr>
          <w:p>
            <w:r>
              <w:rPr>
                <w:sz w:val="18"/>
              </w:rPr>
            </w:r>
            <w:r>
              <w:rPr>
                <w:sz w:val="18"/>
              </w:rPr>
              <w:t>未找到</w:t>
            </w:r>
          </w:p>
        </w:tc>
      </w:tr>
      <w:tr>
        <w:tc>
          <w:tcPr>
            <w:tcW w:type="dxa" w:w="1994"/>
          </w:tcPr>
          <w:p>
            <w:r>
              <w:rPr>
                <w:sz w:val="18"/>
              </w:rPr>
            </w:r>
            <w:r>
              <w:rPr>
                <w:sz w:val="18"/>
              </w:rPr>
              <w:t>友邦、人保</w:t>
            </w:r>
          </w:p>
        </w:tc>
        <w:tc>
          <w:tcPr>
            <w:tcW w:type="dxa" w:w="1994"/>
          </w:tcPr>
          <w:p>
            <w:r>
              <w:rPr>
                <w:sz w:val="18"/>
              </w:rPr>
            </w:r>
            <w:r>
              <w:rPr>
                <w:sz w:val="18"/>
              </w:rPr>
              <w:t>未見重資產社區</w:t>
            </w:r>
          </w:p>
        </w:tc>
        <w:tc>
          <w:tcPr>
            <w:tcW w:type="dxa" w:w="1994"/>
          </w:tcPr>
          <w:p>
            <w:r>
              <w:rPr>
                <w:sz w:val="18"/>
              </w:rPr>
            </w:r>
            <w:r>
              <w:rPr>
                <w:sz w:val="18"/>
              </w:rPr>
              <w:t>居家康養服務、長護險</w:t>
            </w:r>
          </w:p>
        </w:tc>
        <w:tc>
          <w:tcPr>
            <w:tcW w:type="dxa" w:w="1994"/>
          </w:tcPr>
          <w:p>
            <w:r>
              <w:rPr>
                <w:sz w:val="18"/>
              </w:rPr>
            </w:r>
            <w:r>
              <w:rPr>
                <w:sz w:val="18"/>
              </w:rPr>
              <w:t>—</w:t>
            </w:r>
          </w:p>
        </w:tc>
        <w:tc>
          <w:tcPr>
            <w:tcW w:type="dxa" w:w="1994"/>
          </w:tcPr>
          <w:p>
            <w:r>
              <w:rPr>
                <w:sz w:val="18"/>
              </w:rPr>
            </w:r>
            <w:r>
              <w:rPr>
                <w:sz w:val="18"/>
              </w:rPr>
              <w:t>—</w:t>
            </w:r>
          </w:p>
        </w:tc>
      </w:tr>
    </w:tbl>
    <w:p/>
    <w:p>
      <w:r>
        <w:t>行業合計：2023 年監管口徑「已建成運營養老社區 30 多個、床位超 2.8 萬張」；2022 年末「13 家險企投資近 60 個項目」。</w:t>
      </w:r>
    </w:p>
    <w:p>
      <w:pPr>
        <w:pStyle w:val="Heading3"/>
      </w:pPr>
      <w:r>
        <w:t>二、為什麼壽險公司要做這件事</w:t>
      </w:r>
    </w:p>
    <w:p>
      <w:pPr>
        <w:pStyle w:val="ListNumber"/>
      </w:pPr>
      <w:r>
        <w:rPr>
          <w:b/>
        </w:rPr>
        <w:t>賣保單</w:t>
      </w:r>
      <w:r>
        <w:t>：養老社區入住權是高淨值客戶買大額年金的理由。泰康的 200 萬門檻與「23 萬客戶、4,600 億保費」是最直接的證據。</w:t>
      </w:r>
    </w:p>
    <w:p>
      <w:pPr>
        <w:pStyle w:val="ListNumber"/>
      </w:pPr>
      <w:r>
        <w:rPr>
          <w:b/>
        </w:rPr>
        <w:t>鎖定長期負債的對價資產</w:t>
      </w:r>
      <w:r>
        <w:t>：壽險負債 12～13 年，養老社區是少數天然長久期、有現金流的資產。</w:t>
      </w:r>
    </w:p>
    <w:p>
      <w:pPr>
        <w:pStyle w:val="ListNumber"/>
      </w:pPr>
      <w:r>
        <w:rPr>
          <w:b/>
        </w:rPr>
        <w:t>人口需求</w:t>
      </w:r>
      <w:r>
        <w:t>：2024 年末 65 歲以上 2.2 億（15.6%）、60 歲以上 20.5%；2035 年 60 歲以上破 4 億、占比逾 30%；養老床位 799 萬張，護理型床位占 65.7%；養老產業規模 2023 年 12 萬億、2030 年或超 20 萬億。</w:t>
      </w:r>
    </w:p>
    <w:p>
      <w:pPr>
        <w:pStyle w:val="ListNumber"/>
      </w:pPr>
      <w:r>
        <w:rPr>
          <w:b/>
        </w:rPr>
        <w:t>政策鼓勵</w:t>
      </w:r>
      <w:r>
        <w:t>：長護險 2025 年底試點 92 城、覆蓋 3.08 億人，2026 年 3 月中辦國辦發文加快建立制度；個人養老金政策持續加碼。</w:t>
      </w:r>
    </w:p>
    <w:p>
      <w:pPr>
        <w:pStyle w:val="Heading3"/>
      </w:pPr>
      <w:r>
        <w:t>三、為什麼這是重擔</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面向</w:t>
            </w:r>
          </w:p>
        </w:tc>
        <w:tc>
          <w:tcPr>
            <w:tcW w:type="dxa" w:w="4986"/>
          </w:tcPr>
          <w:p>
            <w:r>
              <w:rPr>
                <w:b/>
                <w:sz w:val="18"/>
              </w:rPr>
            </w:r>
            <w:r>
              <w:rPr>
                <w:b/>
                <w:sz w:val="18"/>
              </w:rPr>
              <w:t>事實</w:t>
            </w:r>
          </w:p>
        </w:tc>
      </w:tr>
      <w:tr>
        <w:tc>
          <w:tcPr>
            <w:tcW w:type="dxa" w:w="4986"/>
          </w:tcPr>
          <w:p>
            <w:r>
              <w:rPr>
                <w:sz w:val="18"/>
              </w:rPr>
            </w:r>
            <w:r>
              <w:rPr>
                <w:sz w:val="18"/>
              </w:rPr>
              <w:t>回本</w:t>
            </w:r>
          </w:p>
        </w:tc>
        <w:tc>
          <w:tcPr>
            <w:tcW w:type="dxa" w:w="4986"/>
          </w:tcPr>
          <w:p>
            <w:r>
              <w:rPr>
                <w:sz w:val="18"/>
              </w:rPr>
            </w:r>
            <w:r>
              <w:rPr>
                <w:sz w:val="18"/>
              </w:rPr>
              <w:t>業內稱回收周期最長 30 年；中小項目 3～5 年運營打平，大項目 5～8 年；「運營打平」不等於「收回投資」</w:t>
            </w:r>
          </w:p>
        </w:tc>
      </w:tr>
      <w:tr>
        <w:tc>
          <w:tcPr>
            <w:tcW w:type="dxa" w:w="4986"/>
          </w:tcPr>
          <w:p>
            <w:r>
              <w:rPr>
                <w:sz w:val="18"/>
              </w:rPr>
            </w:r>
            <w:r>
              <w:rPr>
                <w:sz w:val="18"/>
              </w:rPr>
              <w:t>回報率</w:t>
            </w:r>
          </w:p>
        </w:tc>
        <w:tc>
          <w:tcPr>
            <w:tcW w:type="dxa" w:w="4986"/>
          </w:tcPr>
          <w:p>
            <w:r>
              <w:rPr>
                <w:sz w:val="18"/>
              </w:rPr>
            </w:r>
            <w:r>
              <w:rPr>
                <w:sz w:val="18"/>
              </w:rPr>
              <w:t>中信證券測算基礎回報 3% 以上、精耕細作約 4%；壽險負債成本 3.2% 以上</w:t>
            </w:r>
          </w:p>
        </w:tc>
      </w:tr>
      <w:tr>
        <w:tc>
          <w:tcPr>
            <w:tcW w:type="dxa" w:w="4986"/>
          </w:tcPr>
          <w:p>
            <w:r>
              <w:rPr>
                <w:sz w:val="18"/>
              </w:rPr>
            </w:r>
            <w:r>
              <w:rPr>
                <w:sz w:val="18"/>
              </w:rPr>
              <w:t>空置</w:t>
            </w:r>
          </w:p>
        </w:tc>
        <w:tc>
          <w:tcPr>
            <w:tcW w:type="dxa" w:w="4986"/>
          </w:tcPr>
          <w:p>
            <w:r>
              <w:rPr>
                <w:sz w:val="18"/>
              </w:rPr>
            </w:r>
            <w:r>
              <w:rPr>
                <w:sz w:val="18"/>
              </w:rPr>
              <w:t>2021 年報導行業空置率 50%；主因六成老人在城裡、六成機構在郊區；2024～2026 最新空置率未找到</w:t>
            </w:r>
          </w:p>
        </w:tc>
      </w:tr>
      <w:tr>
        <w:tc>
          <w:tcPr>
            <w:tcW w:type="dxa" w:w="4986"/>
          </w:tcPr>
          <w:p>
            <w:r>
              <w:rPr>
                <w:sz w:val="18"/>
              </w:rPr>
            </w:r>
            <w:r>
              <w:rPr>
                <w:sz w:val="18"/>
              </w:rPr>
              <w:t>資本占用</w:t>
            </w:r>
          </w:p>
        </w:tc>
        <w:tc>
          <w:tcPr>
            <w:tcW w:type="dxa" w:w="4986"/>
          </w:tcPr>
          <w:p>
            <w:r>
              <w:rPr>
                <w:sz w:val="18"/>
              </w:rPr>
            </w:r>
            <w:r>
              <w:rPr>
                <w:sz w:val="18"/>
              </w:rPr>
              <w:t>償二代二期：投資性房地產按成本計量、評估增值不能算實際資本；養老社區運營主體多為非保險子公司，最低資本 100% 計提；不動產投資上限為總資產 10%（不動產金融產品 3%）</w:t>
            </w:r>
          </w:p>
        </w:tc>
      </w:tr>
      <w:tr>
        <w:tc>
          <w:tcPr>
            <w:tcW w:type="dxa" w:w="4986"/>
          </w:tcPr>
          <w:p>
            <w:r>
              <w:rPr>
                <w:sz w:val="18"/>
              </w:rPr>
            </w:r>
            <w:r>
              <w:rPr>
                <w:sz w:val="18"/>
              </w:rPr>
              <w:t>監管門檻</w:t>
            </w:r>
          </w:p>
        </w:tc>
        <w:tc>
          <w:tcPr>
            <w:tcW w:type="dxa" w:w="4986"/>
          </w:tcPr>
          <w:p>
            <w:r>
              <w:rPr>
                <w:sz w:val="18"/>
              </w:rPr>
            </w:r>
            <w:r>
              <w:rPr>
                <w:sz w:val="18"/>
              </w:rPr>
              <w:t>2023-01 徵求意見稿：淨資產 50 億、連續四季綜合充足率 120%、評級 B 以上、治理評估 C 以上；禁止「以養老社區為名開發銷售商業住宅」</w:t>
            </w:r>
          </w:p>
        </w:tc>
      </w:tr>
      <w:tr>
        <w:tc>
          <w:tcPr>
            <w:tcW w:type="dxa" w:w="4986"/>
          </w:tcPr>
          <w:p>
            <w:r>
              <w:rPr>
                <w:sz w:val="18"/>
              </w:rPr>
            </w:r>
            <w:r>
              <w:rPr>
                <w:sz w:val="18"/>
              </w:rPr>
              <w:t>退出</w:t>
            </w:r>
          </w:p>
        </w:tc>
        <w:tc>
          <w:tcPr>
            <w:tcW w:type="dxa" w:w="4986"/>
          </w:tcPr>
          <w:p>
            <w:r>
              <w:rPr>
                <w:sz w:val="18"/>
              </w:rPr>
            </w:r>
            <w:r>
              <w:rPr>
                <w:sz w:val="18"/>
              </w:rPr>
              <w:t>養老 REITs 至今零發行；險企只能用私募基金與 ABS 部分盤活</w:t>
            </w:r>
          </w:p>
        </w:tc>
      </w:tr>
      <w:tr>
        <w:tc>
          <w:tcPr>
            <w:tcW w:type="dxa" w:w="4986"/>
          </w:tcPr>
          <w:p>
            <w:r>
              <w:rPr>
                <w:sz w:val="18"/>
              </w:rPr>
            </w:r>
            <w:r>
              <w:rPr>
                <w:sz w:val="18"/>
              </w:rPr>
              <w:t>泰康的帳</w:t>
            </w:r>
          </w:p>
        </w:tc>
        <w:tc>
          <w:tcPr>
            <w:tcW w:type="dxa" w:w="4986"/>
          </w:tcPr>
          <w:p>
            <w:r>
              <w:rPr>
                <w:sz w:val="18"/>
              </w:rPr>
            </w:r>
            <w:r>
              <w:rPr>
                <w:sz w:val="18"/>
              </w:rPr>
              <w:t>布局最早、規模最大，2020、2023、2024 年醫養板塊運營收入仍低於成本；陳東升說「大健康真正賺錢要 5 到 8 年」</w:t>
            </w:r>
          </w:p>
        </w:tc>
      </w:tr>
    </w:tbl>
    <w:p/>
    <w:p>
      <w:pPr>
        <w:pStyle w:val="Heading3"/>
      </w:pPr>
      <w:r>
        <w:t>四、國際對照</w:t>
      </w:r>
    </w:p>
    <w:p>
      <w:pPr>
        <w:pStyle w:val="ListBullet"/>
      </w:pPr>
      <w:r>
        <w:rPr>
          <w:b/>
        </w:rPr>
        <w:t>美國</w:t>
      </w:r>
      <w:r>
        <w:t>：CCRC 逾 1,100 家；模式是 REIT 持有物業（Welltower，市值約 310 億美元）+ 專業運營商（Brookdale，47 州 1,100 家社區）分離，壽險公司以機構投資者身分透過 REITs 間接參與，不自建自營。美國養老地產 REITs 近十年年化 11.7%，但稅制與退出機制與中國完全不同。</w:t>
      </w:r>
    </w:p>
    <w:p>
      <w:pPr>
        <w:pStyle w:val="ListBullet"/>
      </w:pPr>
      <w:r>
        <w:rPr>
          <w:b/>
        </w:rPr>
        <w:t>日本、台灣</w:t>
      </w:r>
      <w:r>
        <w:t>：本次未找到可核實的壽險公司養老社區失敗案例或台灣具體項目數據；日本介護業 2022 年倒閉 143 件，多為中小機構。</w:t>
      </w:r>
    </w:p>
    <w:p>
      <w:pPr>
        <w:pStyle w:val="ListBullet"/>
      </w:pPr>
      <w:r>
        <w:t>學者批評（南開朱銘來）：可能演變為「圈地運動」，護理人才與服務體系跟不上；部分險企「過多涉及純地產」。</w:t>
      </w:r>
    </w:p>
    <w:p>
      <w:pPr>
        <w:pStyle w:val="Heading3"/>
      </w:pPr>
      <w:r>
        <w:t>五、戰略判斷</w:t>
      </w:r>
    </w:p>
    <w:p>
      <w:pPr>
        <w:pStyle w:val="ListBullet"/>
      </w:pPr>
      <w:r>
        <w:t>養老社區對壽險公司是</w:t>
      </w:r>
      <w:r>
        <w:rPr>
          <w:b/>
        </w:rPr>
        <w:t>獲客工具</w:t>
      </w:r>
      <w:r>
        <w:t>，不是</w:t>
      </w:r>
      <w:r>
        <w:rPr>
          <w:b/>
        </w:rPr>
        <w:t>投資工具</w:t>
      </w:r>
      <w:r>
        <w:t>。它的回報要算在保單上（新業務價值、客戶黏性），不能算在不動產上。</w:t>
      </w:r>
    </w:p>
    <w:p>
      <w:pPr>
        <w:pStyle w:val="ListBullet"/>
      </w:pPr>
      <w:r>
        <w:t>在償二代二期下，重資產模式對資本是淨消耗；這也是為什麼 2021 年後行業集體轉向「城心、輕資產、合作運營」，泰康自己也在 2025 年調整重資產模式。</w:t>
      </w:r>
    </w:p>
    <w:p>
      <w:pPr>
        <w:pStyle w:val="ListBullet"/>
      </w:pPr>
      <w:r>
        <w:t>對獲得財政注資的國壽與太平來說，養老社區是集團層面資本被占用的原因之一（國壽嘉園 18 個項目、太平 4 家自有產權社區）。這與第一章「注資打在集團母公司」的推論相互印證。</w:t>
      </w:r>
    </w:p>
    <w:p>
      <w:pPr>
        <w:pStyle w:val="ListBullet"/>
      </w:pPr>
      <w:r>
        <w:t>未來的分水嶺是養老 REITs 能否破冰：一旦有退出通道，重資產可以轉輕；沒有的話，養老社區會繼續是壽險資產負債表上「低收益、長回本、高資本占用」的一塊。</w:t>
      </w:r>
    </w:p>
    <w:p>
      <w:pPr>
        <w:pStyle w:val="Heading2"/>
      </w:pPr>
      <w:r>
        <w:t>第六章　未來 10～20 年的風險、展望與海外投資可能性</w:t>
      </w:r>
    </w:p>
    <w:p>
      <w:pPr>
        <w:pStyle w:val="Heading3"/>
      </w:pPr>
      <w:r>
        <w:t>一、風險矩陣</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風險</w:t>
            </w:r>
          </w:p>
        </w:tc>
        <w:tc>
          <w:tcPr>
            <w:tcW w:type="dxa" w:w="1994"/>
          </w:tcPr>
          <w:p>
            <w:r>
              <w:rPr>
                <w:b/>
                <w:sz w:val="18"/>
              </w:rPr>
            </w:r>
            <w:r>
              <w:rPr>
                <w:b/>
                <w:sz w:val="18"/>
              </w:rPr>
              <w:t>機率</w:t>
            </w:r>
          </w:p>
        </w:tc>
        <w:tc>
          <w:tcPr>
            <w:tcW w:type="dxa" w:w="1994"/>
          </w:tcPr>
          <w:p>
            <w:r>
              <w:rPr>
                <w:b/>
                <w:sz w:val="18"/>
              </w:rPr>
            </w:r>
            <w:r>
              <w:rPr>
                <w:b/>
                <w:sz w:val="18"/>
              </w:rPr>
              <w:t>衝擊</w:t>
            </w:r>
          </w:p>
        </w:tc>
        <w:tc>
          <w:tcPr>
            <w:tcW w:type="dxa" w:w="1994"/>
          </w:tcPr>
          <w:p>
            <w:r>
              <w:rPr>
                <w:b/>
                <w:sz w:val="18"/>
              </w:rPr>
            </w:r>
            <w:r>
              <w:rPr>
                <w:b/>
                <w:sz w:val="18"/>
              </w:rPr>
              <w:t>時間</w:t>
            </w:r>
          </w:p>
        </w:tc>
        <w:tc>
          <w:tcPr>
            <w:tcW w:type="dxa" w:w="1994"/>
          </w:tcPr>
          <w:p>
            <w:r>
              <w:rPr>
                <w:b/>
                <w:sz w:val="18"/>
              </w:rPr>
            </w:r>
            <w:r>
              <w:rPr>
                <w:b/>
                <w:sz w:val="18"/>
              </w:rPr>
              <w:t>證據</w:t>
            </w:r>
          </w:p>
        </w:tc>
      </w:tr>
      <w:tr>
        <w:tc>
          <w:tcPr>
            <w:tcW w:type="dxa" w:w="1994"/>
          </w:tcPr>
          <w:p>
            <w:r>
              <w:rPr>
                <w:sz w:val="18"/>
              </w:rPr>
            </w:r>
            <w:r>
              <w:rPr>
                <w:sz w:val="18"/>
              </w:rPr>
              <w:t>利差損擴大</w:t>
            </w:r>
          </w:p>
        </w:tc>
        <w:tc>
          <w:tcPr>
            <w:tcW w:type="dxa" w:w="1994"/>
          </w:tcPr>
          <w:p>
            <w:r>
              <w:rPr>
                <w:sz w:val="18"/>
              </w:rPr>
            </w:r>
            <w:r>
              <w:rPr>
                <w:sz w:val="18"/>
              </w:rPr>
              <w:t>高</w:t>
            </w:r>
          </w:p>
        </w:tc>
        <w:tc>
          <w:tcPr>
            <w:tcW w:type="dxa" w:w="1994"/>
          </w:tcPr>
          <w:p>
            <w:r>
              <w:rPr>
                <w:sz w:val="18"/>
              </w:rPr>
            </w:r>
            <w:r>
              <w:rPr>
                <w:sz w:val="18"/>
              </w:rPr>
              <w:t>極高</w:t>
            </w:r>
          </w:p>
        </w:tc>
        <w:tc>
          <w:tcPr>
            <w:tcW w:type="dxa" w:w="1994"/>
          </w:tcPr>
          <w:p>
            <w:r>
              <w:rPr>
                <w:sz w:val="18"/>
              </w:rPr>
            </w:r>
            <w:r>
              <w:rPr>
                <w:sz w:val="18"/>
              </w:rPr>
              <w:t>已在發生</w:t>
            </w:r>
          </w:p>
        </w:tc>
        <w:tc>
          <w:tcPr>
            <w:tcW w:type="dxa" w:w="1994"/>
          </w:tcPr>
          <w:p>
            <w:r>
              <w:rPr>
                <w:sz w:val="18"/>
              </w:rPr>
            </w:r>
            <w:r>
              <w:rPr>
                <w:sz w:val="18"/>
              </w:rPr>
              <w:t>存量 3.5%～4.25% 保單；只有 13 家壽險近三年綜合收益率超 5%；預定利率研究值 1.94%、上限 2.0%</w:t>
            </w:r>
          </w:p>
        </w:tc>
      </w:tr>
      <w:tr>
        <w:tc>
          <w:tcPr>
            <w:tcW w:type="dxa" w:w="1994"/>
          </w:tcPr>
          <w:p>
            <w:r>
              <w:rPr>
                <w:sz w:val="18"/>
              </w:rPr>
            </w:r>
            <w:r>
              <w:rPr>
                <w:sz w:val="18"/>
              </w:rPr>
              <w:t>長壽與人口結構</w:t>
            </w:r>
          </w:p>
        </w:tc>
        <w:tc>
          <w:tcPr>
            <w:tcW w:type="dxa" w:w="1994"/>
          </w:tcPr>
          <w:p>
            <w:r>
              <w:rPr>
                <w:sz w:val="18"/>
              </w:rPr>
            </w:r>
            <w:r>
              <w:rPr>
                <w:sz w:val="18"/>
              </w:rPr>
              <w:t>確定</w:t>
            </w:r>
          </w:p>
        </w:tc>
        <w:tc>
          <w:tcPr>
            <w:tcW w:type="dxa" w:w="1994"/>
          </w:tcPr>
          <w:p>
            <w:r>
              <w:rPr>
                <w:sz w:val="18"/>
              </w:rPr>
            </w:r>
            <w:r>
              <w:rPr>
                <w:sz w:val="18"/>
              </w:rPr>
              <w:t>高</w:t>
            </w:r>
          </w:p>
        </w:tc>
        <w:tc>
          <w:tcPr>
            <w:tcW w:type="dxa" w:w="1994"/>
          </w:tcPr>
          <w:p>
            <w:r>
              <w:rPr>
                <w:sz w:val="18"/>
              </w:rPr>
            </w:r>
            <w:r>
              <w:rPr>
                <w:sz w:val="18"/>
              </w:rPr>
              <w:t>10～20 年</w:t>
            </w:r>
          </w:p>
        </w:tc>
        <w:tc>
          <w:tcPr>
            <w:tcW w:type="dxa" w:w="1994"/>
          </w:tcPr>
          <w:p>
            <w:r>
              <w:rPr>
                <w:sz w:val="18"/>
              </w:rPr>
            </w:r>
            <w:r>
              <w:rPr>
                <w:sz w:val="18"/>
              </w:rPr>
              <w:t>2025 年末 65 歲以上 2.24 億、15.9%；60 歲以上 3.23 億、23.0%；2025 年出生 792 萬；2035 年 60 歲以上逾 30%；第四套生命表 2026 年起實施，年金準備金上升</w:t>
            </w:r>
          </w:p>
        </w:tc>
      </w:tr>
      <w:tr>
        <w:tc>
          <w:tcPr>
            <w:tcW w:type="dxa" w:w="1994"/>
          </w:tcPr>
          <w:p>
            <w:r>
              <w:rPr>
                <w:sz w:val="18"/>
              </w:rPr>
            </w:r>
            <w:r>
              <w:rPr>
                <w:sz w:val="18"/>
              </w:rPr>
              <w:t>利率長期低位、資產荒</w:t>
            </w:r>
          </w:p>
        </w:tc>
        <w:tc>
          <w:tcPr>
            <w:tcW w:type="dxa" w:w="1994"/>
          </w:tcPr>
          <w:p>
            <w:r>
              <w:rPr>
                <w:sz w:val="18"/>
              </w:rPr>
            </w:r>
            <w:r>
              <w:rPr>
                <w:sz w:val="18"/>
              </w:rPr>
              <w:t>高</w:t>
            </w:r>
          </w:p>
        </w:tc>
        <w:tc>
          <w:tcPr>
            <w:tcW w:type="dxa" w:w="1994"/>
          </w:tcPr>
          <w:p>
            <w:r>
              <w:rPr>
                <w:sz w:val="18"/>
              </w:rPr>
            </w:r>
            <w:r>
              <w:rPr>
                <w:sz w:val="18"/>
              </w:rPr>
              <w:t>高</w:t>
            </w:r>
          </w:p>
        </w:tc>
        <w:tc>
          <w:tcPr>
            <w:tcW w:type="dxa" w:w="1994"/>
          </w:tcPr>
          <w:p>
            <w:r>
              <w:rPr>
                <w:sz w:val="18"/>
              </w:rPr>
            </w:r>
            <w:r>
              <w:rPr>
                <w:sz w:val="18"/>
              </w:rPr>
              <w:t>持續</w:t>
            </w:r>
          </w:p>
        </w:tc>
        <w:tc>
          <w:tcPr>
            <w:tcW w:type="dxa" w:w="1994"/>
          </w:tcPr>
          <w:p>
            <w:r>
              <w:rPr>
                <w:sz w:val="18"/>
              </w:rPr>
            </w:r>
            <w:r>
              <w:rPr>
                <w:sz w:val="18"/>
              </w:rPr>
              <w:t>10 年國債約 1.7%、30 年略高於 2%；久期缺口 6～7 年</w:t>
            </w:r>
          </w:p>
        </w:tc>
      </w:tr>
      <w:tr>
        <w:tc>
          <w:tcPr>
            <w:tcW w:type="dxa" w:w="1994"/>
          </w:tcPr>
          <w:p>
            <w:r>
              <w:rPr>
                <w:sz w:val="18"/>
              </w:rPr>
            </w:r>
            <w:r>
              <w:rPr>
                <w:sz w:val="18"/>
              </w:rPr>
              <w:t>監管規則再收緊（償三代、新準則）</w:t>
            </w:r>
          </w:p>
        </w:tc>
        <w:tc>
          <w:tcPr>
            <w:tcW w:type="dxa" w:w="1994"/>
          </w:tcPr>
          <w:p>
            <w:r>
              <w:rPr>
                <w:sz w:val="18"/>
              </w:rPr>
            </w:r>
            <w:r>
              <w:rPr>
                <w:sz w:val="18"/>
              </w:rPr>
              <w:t>中高</w:t>
            </w:r>
          </w:p>
        </w:tc>
        <w:tc>
          <w:tcPr>
            <w:tcW w:type="dxa" w:w="1994"/>
          </w:tcPr>
          <w:p>
            <w:r>
              <w:rPr>
                <w:sz w:val="18"/>
              </w:rPr>
            </w:r>
            <w:r>
              <w:rPr>
                <w:sz w:val="18"/>
              </w:rPr>
              <w:t>中高</w:t>
            </w:r>
          </w:p>
        </w:tc>
        <w:tc>
          <w:tcPr>
            <w:tcW w:type="dxa" w:w="1994"/>
          </w:tcPr>
          <w:p>
            <w:r>
              <w:rPr>
                <w:sz w:val="18"/>
              </w:rPr>
            </w:r>
            <w:r>
              <w:rPr>
                <w:sz w:val="18"/>
              </w:rPr>
              <w:t>2027 後</w:t>
            </w:r>
          </w:p>
        </w:tc>
        <w:tc>
          <w:tcPr>
            <w:tcW w:type="dxa" w:w="1994"/>
          </w:tcPr>
          <w:p>
            <w:r>
              <w:rPr>
                <w:sz w:val="18"/>
              </w:rPr>
            </w:r>
            <w:r>
              <w:rPr>
                <w:sz w:val="18"/>
              </w:rPr>
              <w:t>2022Q1 一次改版讓核心充足率少 70 個百分點的前例</w:t>
            </w:r>
          </w:p>
        </w:tc>
      </w:tr>
      <w:tr>
        <w:tc>
          <w:tcPr>
            <w:tcW w:type="dxa" w:w="1994"/>
          </w:tcPr>
          <w:p>
            <w:r>
              <w:rPr>
                <w:sz w:val="18"/>
              </w:rPr>
            </w:r>
            <w:r>
              <w:rPr>
                <w:sz w:val="18"/>
              </w:rPr>
              <w:t>資本市場波動經新準則放大</w:t>
            </w:r>
          </w:p>
        </w:tc>
        <w:tc>
          <w:tcPr>
            <w:tcW w:type="dxa" w:w="1994"/>
          </w:tcPr>
          <w:p>
            <w:r>
              <w:rPr>
                <w:sz w:val="18"/>
              </w:rPr>
            </w:r>
            <w:r>
              <w:rPr>
                <w:sz w:val="18"/>
              </w:rPr>
              <w:t>高</w:t>
            </w:r>
          </w:p>
        </w:tc>
        <w:tc>
          <w:tcPr>
            <w:tcW w:type="dxa" w:w="1994"/>
          </w:tcPr>
          <w:p>
            <w:r>
              <w:rPr>
                <w:sz w:val="18"/>
              </w:rPr>
            </w:r>
            <w:r>
              <w:rPr>
                <w:sz w:val="18"/>
              </w:rPr>
              <w:t>中</w:t>
            </w:r>
          </w:p>
        </w:tc>
        <w:tc>
          <w:tcPr>
            <w:tcW w:type="dxa" w:w="1994"/>
          </w:tcPr>
          <w:p>
            <w:r>
              <w:rPr>
                <w:sz w:val="18"/>
              </w:rPr>
            </w:r>
            <w:r>
              <w:rPr>
                <w:sz w:val="18"/>
              </w:rPr>
              <w:t>每季</w:t>
            </w:r>
          </w:p>
        </w:tc>
        <w:tc>
          <w:tcPr>
            <w:tcW w:type="dxa" w:w="1994"/>
          </w:tcPr>
          <w:p>
            <w:r>
              <w:rPr>
                <w:sz w:val="18"/>
              </w:rPr>
            </w:r>
            <w:r>
              <w:rPr>
                <w:sz w:val="18"/>
              </w:rPr>
              <w:t>淨利與淨資產脫鉤案例；2026Q1 五大險企淨利年減 17%、上半年年增近八成</w:t>
            </w:r>
          </w:p>
        </w:tc>
      </w:tr>
      <w:tr>
        <w:tc>
          <w:tcPr>
            <w:tcW w:type="dxa" w:w="1994"/>
          </w:tcPr>
          <w:p>
            <w:r>
              <w:rPr>
                <w:sz w:val="18"/>
              </w:rPr>
            </w:r>
            <w:r>
              <w:rPr>
                <w:sz w:val="18"/>
              </w:rPr>
              <w:t>信用與地方債、房地產</w:t>
            </w:r>
          </w:p>
        </w:tc>
        <w:tc>
          <w:tcPr>
            <w:tcW w:type="dxa" w:w="1994"/>
          </w:tcPr>
          <w:p>
            <w:r>
              <w:rPr>
                <w:sz w:val="18"/>
              </w:rPr>
            </w:r>
            <w:r>
              <w:rPr>
                <w:sz w:val="18"/>
              </w:rPr>
              <w:t>中</w:t>
            </w:r>
          </w:p>
        </w:tc>
        <w:tc>
          <w:tcPr>
            <w:tcW w:type="dxa" w:w="1994"/>
          </w:tcPr>
          <w:p>
            <w:r>
              <w:rPr>
                <w:sz w:val="18"/>
              </w:rPr>
            </w:r>
            <w:r>
              <w:rPr>
                <w:sz w:val="18"/>
              </w:rPr>
              <w:t>中高</w:t>
            </w:r>
          </w:p>
        </w:tc>
        <w:tc>
          <w:tcPr>
            <w:tcW w:type="dxa" w:w="1994"/>
          </w:tcPr>
          <w:p>
            <w:r>
              <w:rPr>
                <w:sz w:val="18"/>
              </w:rPr>
            </w:r>
            <w:r>
              <w:rPr>
                <w:sz w:val="18"/>
              </w:rPr>
              <w:t>3～5 年</w:t>
            </w:r>
          </w:p>
        </w:tc>
        <w:tc>
          <w:tcPr>
            <w:tcW w:type="dxa" w:w="1994"/>
          </w:tcPr>
          <w:p>
            <w:r>
              <w:rPr>
                <w:sz w:val="18"/>
              </w:rPr>
            </w:r>
            <w:r>
              <w:rPr>
                <w:sz w:val="18"/>
              </w:rPr>
              <w:t>恒大、華夏幸福、寶能系前例；持倉規模未找到</w:t>
            </w:r>
          </w:p>
        </w:tc>
      </w:tr>
      <w:tr>
        <w:tc>
          <w:tcPr>
            <w:tcW w:type="dxa" w:w="1994"/>
          </w:tcPr>
          <w:p>
            <w:r>
              <w:rPr>
                <w:sz w:val="18"/>
              </w:rPr>
            </w:r>
            <w:r>
              <w:rPr>
                <w:sz w:val="18"/>
              </w:rPr>
              <w:t>氣候巨災</w:t>
            </w:r>
          </w:p>
        </w:tc>
        <w:tc>
          <w:tcPr>
            <w:tcW w:type="dxa" w:w="1994"/>
          </w:tcPr>
          <w:p>
            <w:r>
              <w:rPr>
                <w:sz w:val="18"/>
              </w:rPr>
            </w:r>
            <w:r>
              <w:rPr>
                <w:sz w:val="18"/>
              </w:rPr>
              <w:t>中高</w:t>
            </w:r>
          </w:p>
        </w:tc>
        <w:tc>
          <w:tcPr>
            <w:tcW w:type="dxa" w:w="1994"/>
          </w:tcPr>
          <w:p>
            <w:r>
              <w:rPr>
                <w:sz w:val="18"/>
              </w:rPr>
            </w:r>
            <w:r>
              <w:rPr>
                <w:sz w:val="18"/>
              </w:rPr>
              <w:t>中（財險、再保）</w:t>
            </w:r>
          </w:p>
        </w:tc>
        <w:tc>
          <w:tcPr>
            <w:tcW w:type="dxa" w:w="1994"/>
          </w:tcPr>
          <w:p>
            <w:r>
              <w:rPr>
                <w:sz w:val="18"/>
              </w:rPr>
            </w:r>
            <w:r>
              <w:rPr>
                <w:sz w:val="18"/>
              </w:rPr>
              <w:t>持續</w:t>
            </w:r>
          </w:p>
        </w:tc>
        <w:tc>
          <w:tcPr>
            <w:tcW w:type="dxa" w:w="1994"/>
          </w:tcPr>
          <w:p>
            <w:r>
              <w:rPr>
                <w:sz w:val="18"/>
              </w:rPr>
            </w:r>
            <w:r>
              <w:rPr>
                <w:sz w:val="18"/>
              </w:rPr>
              <w:t>河南 7·20 估損 124 億、京津冀 2023 洪水估損 98 億、摩羯颱風海南預估賠款 14.3 億；巨災共同體 2024 年為 6,439 萬戶次提供 22.36 萬億保障，基本保額翻倍至城鎮 10 萬／農村 4 萬；巨災保險在單一災害賠付中占比仍極小（摩羯首批巨災預付僅 158 萬）</w:t>
            </w:r>
          </w:p>
        </w:tc>
      </w:tr>
      <w:tr>
        <w:tc>
          <w:tcPr>
            <w:tcW w:type="dxa" w:w="1994"/>
          </w:tcPr>
          <w:p>
            <w:r>
              <w:rPr>
                <w:sz w:val="18"/>
              </w:rPr>
            </w:r>
            <w:r>
              <w:rPr>
                <w:sz w:val="18"/>
              </w:rPr>
              <w:t>中小險企風險處置與保障基金消耗</w:t>
            </w:r>
          </w:p>
        </w:tc>
        <w:tc>
          <w:tcPr>
            <w:tcW w:type="dxa" w:w="1994"/>
          </w:tcPr>
          <w:p>
            <w:r>
              <w:rPr>
                <w:sz w:val="18"/>
              </w:rPr>
            </w:r>
            <w:r>
              <w:rPr>
                <w:sz w:val="18"/>
              </w:rPr>
              <w:t>高</w:t>
            </w:r>
          </w:p>
        </w:tc>
        <w:tc>
          <w:tcPr>
            <w:tcW w:type="dxa" w:w="1994"/>
          </w:tcPr>
          <w:p>
            <w:r>
              <w:rPr>
                <w:sz w:val="18"/>
              </w:rPr>
            </w:r>
            <w:r>
              <w:rPr>
                <w:sz w:val="18"/>
              </w:rPr>
              <w:t>中</w:t>
            </w:r>
          </w:p>
        </w:tc>
        <w:tc>
          <w:tcPr>
            <w:tcW w:type="dxa" w:w="1994"/>
          </w:tcPr>
          <w:p>
            <w:r>
              <w:rPr>
                <w:sz w:val="18"/>
              </w:rPr>
            </w:r>
            <w:r>
              <w:rPr>
                <w:sz w:val="18"/>
              </w:rPr>
              <w:t>3～5 年</w:t>
            </w:r>
          </w:p>
        </w:tc>
        <w:tc>
          <w:tcPr>
            <w:tcW w:type="dxa" w:w="1994"/>
          </w:tcPr>
          <w:p>
            <w:r>
              <w:rPr>
                <w:sz w:val="18"/>
              </w:rPr>
            </w:r>
            <w:r>
              <w:rPr>
                <w:sz w:val="18"/>
              </w:rPr>
              <w:t>5 家不達標 + 一批長期不披露公司；保障基金 2022 年末 2,033 億；2025 年《監管評級辦法》把 5 級高風險分界線從 60 分降到 45 分、處置由「可選」變「必選」；安邦 2026 年 2 月完成中國首例保險集團實質合併破產清算；前海財險 20% 股權七折仍流拍、三峽人壽 6.59% 股權六次流拍、起拍價降逾八成；富澤人壽（山東國資 + 保障基金 + 人保資管）承接君康人壽</w:t>
            </w:r>
          </w:p>
        </w:tc>
      </w:tr>
      <w:tr>
        <w:tc>
          <w:tcPr>
            <w:tcW w:type="dxa" w:w="1994"/>
          </w:tcPr>
          <w:p>
            <w:r>
              <w:rPr>
                <w:sz w:val="18"/>
              </w:rPr>
            </w:r>
            <w:r>
              <w:rPr>
                <w:sz w:val="18"/>
              </w:rPr>
              <w:t>行業集中度上升、中小公司出局</w:t>
            </w:r>
          </w:p>
        </w:tc>
        <w:tc>
          <w:tcPr>
            <w:tcW w:type="dxa" w:w="1994"/>
          </w:tcPr>
          <w:p>
            <w:r>
              <w:rPr>
                <w:sz w:val="18"/>
              </w:rPr>
            </w:r>
            <w:r>
              <w:rPr>
                <w:sz w:val="18"/>
              </w:rPr>
              <w:t>高</w:t>
            </w:r>
          </w:p>
        </w:tc>
        <w:tc>
          <w:tcPr>
            <w:tcW w:type="dxa" w:w="1994"/>
          </w:tcPr>
          <w:p>
            <w:r>
              <w:rPr>
                <w:sz w:val="18"/>
              </w:rPr>
            </w:r>
            <w:r>
              <w:rPr>
                <w:sz w:val="18"/>
              </w:rPr>
              <w:t>低（系統）／高（個體）</w:t>
            </w:r>
          </w:p>
        </w:tc>
        <w:tc>
          <w:tcPr>
            <w:tcW w:type="dxa" w:w="1994"/>
          </w:tcPr>
          <w:p>
            <w:r>
              <w:rPr>
                <w:sz w:val="18"/>
              </w:rPr>
            </w:r>
            <w:r>
              <w:rPr>
                <w:sz w:val="18"/>
              </w:rPr>
              <w:t>持續</w:t>
            </w:r>
          </w:p>
        </w:tc>
        <w:tc>
          <w:tcPr>
            <w:tcW w:type="dxa" w:w="1994"/>
          </w:tcPr>
          <w:p>
            <w:r>
              <w:rPr>
                <w:sz w:val="18"/>
              </w:rPr>
            </w:r>
            <w:r>
              <w:rPr>
                <w:sz w:val="18"/>
              </w:rPr>
              <w:t>財險 CR5 74.4%、壽險 CR5 58.9%（國壽 21.9%、平安人壽 16.2%）；個險代理人從 2019 年 912 萬降到 2024 年 264 萬（上市五家 2025 年 133 萬）；外資市占率 9%；財政注資只給頭部央企</w:t>
            </w:r>
          </w:p>
        </w:tc>
      </w:tr>
      <w:tr>
        <w:tc>
          <w:tcPr>
            <w:tcW w:type="dxa" w:w="1994"/>
          </w:tcPr>
          <w:p>
            <w:r>
              <w:rPr>
                <w:sz w:val="18"/>
              </w:rPr>
            </w:r>
            <w:r>
              <w:rPr>
                <w:sz w:val="18"/>
              </w:rPr>
              <w:t>地緣政治與海外資產</w:t>
            </w:r>
          </w:p>
        </w:tc>
        <w:tc>
          <w:tcPr>
            <w:tcW w:type="dxa" w:w="1994"/>
          </w:tcPr>
          <w:p>
            <w:r>
              <w:rPr>
                <w:sz w:val="18"/>
              </w:rPr>
            </w:r>
            <w:r>
              <w:rPr>
                <w:sz w:val="18"/>
              </w:rPr>
              <w:t>中</w:t>
            </w:r>
          </w:p>
        </w:tc>
        <w:tc>
          <w:tcPr>
            <w:tcW w:type="dxa" w:w="1994"/>
          </w:tcPr>
          <w:p>
            <w:r>
              <w:rPr>
                <w:sz w:val="18"/>
              </w:rPr>
            </w:r>
            <w:r>
              <w:rPr>
                <w:sz w:val="18"/>
              </w:rPr>
              <w:t>中低（目前敞口小）</w:t>
            </w:r>
          </w:p>
        </w:tc>
        <w:tc>
          <w:tcPr>
            <w:tcW w:type="dxa" w:w="1994"/>
          </w:tcPr>
          <w:p>
            <w:r>
              <w:rPr>
                <w:sz w:val="18"/>
              </w:rPr>
            </w:r>
            <w:r>
              <w:rPr>
                <w:sz w:val="18"/>
              </w:rPr>
              <w:t>5～10 年</w:t>
            </w:r>
          </w:p>
        </w:tc>
        <w:tc>
          <w:tcPr>
            <w:tcW w:type="dxa" w:w="1994"/>
          </w:tcPr>
          <w:p>
            <w:r>
              <w:rPr>
                <w:sz w:val="18"/>
              </w:rPr>
            </w:r>
            <w:r>
              <w:rPr>
                <w:sz w:val="18"/>
              </w:rPr>
              <w:t>境外占比 1.6%</w:t>
            </w:r>
          </w:p>
        </w:tc>
      </w:tr>
    </w:tbl>
    <w:p/>
    <w:p>
      <w:pPr>
        <w:pStyle w:val="Heading3"/>
      </w:pPr>
      <w:r>
        <w:t>二、日本鏡像：像在哪裡、不像在哪裡</w:t>
      </w:r>
    </w:p>
    <w:p>
      <w:r>
        <w:rPr>
          <w:b/>
        </w:rPr>
        <w:t>像</w:t>
      </w:r>
      <w:r>
        <w:t>：日本 1980 年代賣了大量預定利率 4% 以上的儲蓄型保單，泡沫破裂後資產收益從 6.5% 掉到 2%，逆ザヤ約 2 個百分點，1997～2001 年七家中堅生保破產（日產、東邦、第百、大正、千代田、協榮、東京）。中國 2015～2019 年的萬能險與 3.5%～4.025% 年金，與此結構相同；日經今年的分析標題就叫「萬能險的爪痕」。</w:t>
      </w:r>
    </w:p>
    <w:p>
      <w:r>
        <w:rPr>
          <w:b/>
        </w:rPr>
        <w:t>不像</w:t>
      </w:r>
      <w:r>
        <w:t>：</w:t>
      </w:r>
    </w:p>
    <w:p>
      <w:pPr>
        <w:pStyle w:val="ListNumber"/>
      </w:pPr>
      <w:r>
        <w:t>中國監管動手更早：預定利率 2023 年 3.5%→3.0%，2025 年建立與 LPR、存款利率、10 年國債掛鉤的季度動態機制，2025 年 9 月降到 2.0%；分紅險占比快速上升（太平 2025 年分紅險保費 +92%）。日本當年是破產之後才調。</w:t>
      </w:r>
    </w:p>
    <w:p>
      <w:pPr>
        <w:pStyle w:val="ListNumber"/>
      </w:pPr>
      <w:r>
        <w:t>財政直接注資與國家資本安全網：日本靠保護機構與外資接盤；中國是財政部、匯金、保險保障基金三層兜底，2026 年 9 月更把頭部險企納入特別國債框架。</w:t>
      </w:r>
    </w:p>
    <w:p>
      <w:pPr>
        <w:pStyle w:val="ListNumber"/>
      </w:pPr>
      <w:r>
        <w:t>資本市場任務：中國要求險資當長錢入市，並用降因子、擴上限、注資配套；這在日本沒有對應物。</w:t>
      </w:r>
    </w:p>
    <w:p>
      <w:pPr>
        <w:pStyle w:val="ListNumber"/>
      </w:pPr>
      <w:r>
        <w:t>中國的問題公司大多是股東問題，日本是純粹的利差損。</w:t>
      </w:r>
    </w:p>
    <w:p>
      <w:r>
        <w:rPr>
          <w:b/>
        </w:rPr>
        <w:t>日本的出路，中國能不能走</w:t>
      </w:r>
      <w:r>
        <w:t>：日本靠三招走出來：預定利率降到近零、大舉買美債、發展第三領域（醫療、癌症）保險。第一招中國在做；第三招中國在做（健康險、長護險）；</w:t>
      </w:r>
      <w:r>
        <w:rPr>
          <w:b/>
        </w:rPr>
        <w:t>第二招中國走不了</w:t>
      </w:r>
      <w:r>
        <w:t>，見第四節。</w:t>
      </w:r>
    </w:p>
    <w:p>
      <w:pPr>
        <w:pStyle w:val="Heading3"/>
      </w:pPr>
      <w:r>
        <w:t>三、三種情境（推演，非預測）</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r>
            <w:r>
              <w:rPr>
                <w:b/>
                <w:sz w:val="18"/>
              </w:rPr>
              <w:t>情境</w:t>
            </w:r>
          </w:p>
        </w:tc>
        <w:tc>
          <w:tcPr>
            <w:tcW w:type="dxa" w:w="2493"/>
          </w:tcPr>
          <w:p>
            <w:r>
              <w:rPr>
                <w:b/>
                <w:sz w:val="18"/>
              </w:rPr>
            </w:r>
            <w:r>
              <w:rPr>
                <w:b/>
                <w:sz w:val="18"/>
              </w:rPr>
              <w:t>條件</w:t>
            </w:r>
          </w:p>
        </w:tc>
        <w:tc>
          <w:tcPr>
            <w:tcW w:type="dxa" w:w="2493"/>
          </w:tcPr>
          <w:p>
            <w:r>
              <w:rPr>
                <w:b/>
                <w:sz w:val="18"/>
              </w:rPr>
            </w:r>
            <w:r>
              <w:rPr>
                <w:b/>
                <w:sz w:val="18"/>
              </w:rPr>
              <w:t>保險業樣貌</w:t>
            </w:r>
          </w:p>
        </w:tc>
        <w:tc>
          <w:tcPr>
            <w:tcW w:type="dxa" w:w="2493"/>
          </w:tcPr>
          <w:p>
            <w:r>
              <w:rPr>
                <w:b/>
                <w:sz w:val="18"/>
              </w:rPr>
            </w:r>
            <w:r>
              <w:rPr>
                <w:b/>
                <w:sz w:val="18"/>
              </w:rPr>
              <w:t>機率（主觀）</w:t>
            </w:r>
          </w:p>
        </w:tc>
      </w:tr>
      <w:tr>
        <w:tc>
          <w:tcPr>
            <w:tcW w:type="dxa" w:w="2493"/>
          </w:tcPr>
          <w:p>
            <w:r>
              <w:rPr>
                <w:sz w:val="18"/>
              </w:rPr>
            </w:r>
            <w:r>
              <w:rPr>
                <w:b/>
                <w:sz w:val="18"/>
              </w:rPr>
              <w:t>基準：慢性病管理</w:t>
            </w:r>
          </w:p>
        </w:tc>
        <w:tc>
          <w:tcPr>
            <w:tcW w:type="dxa" w:w="2493"/>
          </w:tcPr>
          <w:p>
            <w:r>
              <w:rPr>
                <w:sz w:val="18"/>
              </w:rPr>
            </w:r>
            <w:r>
              <w:rPr>
                <w:sz w:val="18"/>
              </w:rPr>
              <w:t>10 年國債 1.5%～2.0% 區間、股市溫和、監管每兩三年一次放鬆</w:t>
            </w:r>
          </w:p>
        </w:tc>
        <w:tc>
          <w:tcPr>
            <w:tcW w:type="dxa" w:w="2493"/>
          </w:tcPr>
          <w:p>
            <w:r>
              <w:rPr>
                <w:sz w:val="18"/>
              </w:rPr>
            </w:r>
            <w:r>
              <w:rPr>
                <w:sz w:val="18"/>
              </w:rPr>
              <w:t>行業充足率在 160%～190% 平台，每年靠發債與注資補 5～10 個百分點；頭部集中度上升；中小公司陸續被承接；分紅險成主流</w:t>
            </w:r>
          </w:p>
        </w:tc>
        <w:tc>
          <w:tcPr>
            <w:tcW w:type="dxa" w:w="2493"/>
          </w:tcPr>
          <w:p>
            <w:r>
              <w:rPr>
                <w:sz w:val="18"/>
              </w:rPr>
            </w:r>
            <w:r>
              <w:rPr>
                <w:sz w:val="18"/>
              </w:rPr>
              <w:t>55%</w:t>
            </w:r>
          </w:p>
        </w:tc>
      </w:tr>
      <w:tr>
        <w:tc>
          <w:tcPr>
            <w:tcW w:type="dxa" w:w="2493"/>
          </w:tcPr>
          <w:p>
            <w:r>
              <w:rPr>
                <w:sz w:val="18"/>
              </w:rPr>
            </w:r>
            <w:r>
              <w:rPr>
                <w:b/>
                <w:sz w:val="18"/>
              </w:rPr>
              <w:t>日本化</w:t>
            </w:r>
          </w:p>
        </w:tc>
        <w:tc>
          <w:tcPr>
            <w:tcW w:type="dxa" w:w="2493"/>
          </w:tcPr>
          <w:p>
            <w:r>
              <w:rPr>
                <w:sz w:val="18"/>
              </w:rPr>
            </w:r>
            <w:r>
              <w:rPr>
                <w:sz w:val="18"/>
              </w:rPr>
              <w:t>利率跌破 1%、股市長期低迷、償三代收緊</w:t>
            </w:r>
          </w:p>
        </w:tc>
        <w:tc>
          <w:tcPr>
            <w:tcW w:type="dxa" w:w="2493"/>
          </w:tcPr>
          <w:p>
            <w:r>
              <w:rPr>
                <w:sz w:val="18"/>
              </w:rPr>
            </w:r>
            <w:r>
              <w:rPr>
                <w:sz w:val="18"/>
              </w:rPr>
              <w:t>人身險核心充足率跌破 100%，多家中型壽險資不抵債，保障基金耗盡需財政二次注資，出現「瑞眾模式」大型承接案；預定利率降到 1.0%～1.5%</w:t>
            </w:r>
          </w:p>
        </w:tc>
        <w:tc>
          <w:tcPr>
            <w:tcW w:type="dxa" w:w="2493"/>
          </w:tcPr>
          <w:p>
            <w:r>
              <w:rPr>
                <w:sz w:val="18"/>
              </w:rPr>
            </w:r>
            <w:r>
              <w:rPr>
                <w:sz w:val="18"/>
              </w:rPr>
              <w:t>25%</w:t>
            </w:r>
          </w:p>
        </w:tc>
      </w:tr>
      <w:tr>
        <w:tc>
          <w:tcPr>
            <w:tcW w:type="dxa" w:w="2493"/>
          </w:tcPr>
          <w:p>
            <w:r>
              <w:rPr>
                <w:sz w:val="18"/>
              </w:rPr>
            </w:r>
            <w:r>
              <w:rPr>
                <w:b/>
                <w:sz w:val="18"/>
              </w:rPr>
              <w:t>軟著陸</w:t>
            </w:r>
          </w:p>
        </w:tc>
        <w:tc>
          <w:tcPr>
            <w:tcW w:type="dxa" w:w="2493"/>
          </w:tcPr>
          <w:p>
            <w:r>
              <w:rPr>
                <w:sz w:val="18"/>
              </w:rPr>
            </w:r>
            <w:r>
              <w:rPr>
                <w:sz w:val="18"/>
              </w:rPr>
              <w:t>名目成長回升、利率回到 2.5%～3%、養老三支柱與健康險放量</w:t>
            </w:r>
          </w:p>
        </w:tc>
        <w:tc>
          <w:tcPr>
            <w:tcW w:type="dxa" w:w="2493"/>
          </w:tcPr>
          <w:p>
            <w:r>
              <w:rPr>
                <w:sz w:val="18"/>
              </w:rPr>
            </w:r>
            <w:r>
              <w:rPr>
                <w:sz w:val="18"/>
              </w:rPr>
              <w:t>利差損自然消退，750 日曲線回升釋放準備金，充足率回到 200% 以上，財政注資成為一次性事件</w:t>
            </w:r>
          </w:p>
        </w:tc>
        <w:tc>
          <w:tcPr>
            <w:tcW w:type="dxa" w:w="2493"/>
          </w:tcPr>
          <w:p>
            <w:r>
              <w:rPr>
                <w:sz w:val="18"/>
              </w:rPr>
            </w:r>
            <w:r>
              <w:rPr>
                <w:sz w:val="18"/>
              </w:rPr>
              <w:t>20%</w:t>
            </w:r>
          </w:p>
        </w:tc>
      </w:tr>
    </w:tbl>
    <w:p/>
    <w:p>
      <w:pPr>
        <w:pStyle w:val="Heading3"/>
      </w:pPr>
      <w:r>
        <w:t>四、海外投資：可能性與客觀政治判斷</w:t>
      </w:r>
    </w:p>
    <w:p>
      <w:r>
        <w:rPr>
          <w:b/>
        </w:rPr>
        <w:t>制度空間存在但很小</w:t>
      </w:r>
      <w:r>
        <w:t>：境外投資上限總資產 15%；QDII 全市場累計 1,761.69 億美元（2026-06），保險機構累計 406.43 億美元、2026 上半年新增 13.2 億美元；2026 年 6 月南向通對六家壽險開放、7 月年度額度擴 60% 至 8,000 億元；朱鶴新 6 月宣布再發新一批 QDII 額度。</w:t>
      </w:r>
    </w:p>
    <w:p>
      <w:r>
        <w:rPr>
          <w:b/>
        </w:rPr>
        <w:t>現況是幾乎沒出去</w:t>
      </w:r>
      <w:r>
        <w:t>：2024 年末境外投資 761 億美元、占總資產 1.59%，香港占一半；2014～2015 年曾加速，2017 年後收緊；投向以倫敦辦公樓、酒店為主；平安 2008 年富通虧損七成、中再 2018 年 8.65 億美元買下勞合社的 Chaucer 是兩個極端案例。</w:t>
      </w:r>
    </w:p>
    <w:p>
      <w:r>
        <w:rPr>
          <w:b/>
        </w:rPr>
        <w:t>推力</w:t>
      </w:r>
      <w:r>
        <w:t>：國內 10 年國債 1.7%、久期缺口大，南向通買點心債已成主流。</w:t>
      </w:r>
    </w:p>
    <w:p>
      <w:r>
        <w:rPr>
          <w:b/>
        </w:rPr>
        <w:t>阻力（事實）</w:t>
      </w:r>
      <w:r>
        <w:t>：</w:t>
      </w:r>
    </w:p>
    <w:p>
      <w:pPr>
        <w:pStyle w:val="ListBullet"/>
      </w:pPr>
      <w:r>
        <w:t>中國資本管制與保匯率優先，2026 年 5 月 QDII 額度緊俏到 QDII ETF 溢價飆升；QDII 十年只增 1.5 倍，保險資金卻增 13 倍。</w:t>
      </w:r>
    </w:p>
    <w:p>
      <w:pPr>
        <w:pStyle w:val="ListBullet"/>
      </w:pPr>
      <w:r>
        <w:t>美國 2025 年《美國優先投資政策》強化 CFIUS 對中資審查；中國央行「小額分散」減持美債。</w:t>
      </w:r>
    </w:p>
    <w:p>
      <w:pPr>
        <w:pStyle w:val="ListBullet"/>
      </w:pPr>
      <w:r>
        <w:t>中國 2026 年 7 月施行的《國務院關於對外投資的規定》第 23、24 條納入反制條款，官方文件本身把對外投資定性為地緣政治議題。</w:t>
      </w:r>
    </w:p>
    <w:p>
      <w:pPr>
        <w:pStyle w:val="ListBullet"/>
      </w:pPr>
      <w:r>
        <w:t>俄羅斯央行儲備被凍結的先例；中再董事長 2026 年 3 月公開說地緣政治是「不可忽視的重要風險因素」。</w:t>
      </w:r>
    </w:p>
    <w:p>
      <w:pPr>
        <w:pStyle w:val="ListBullet"/>
      </w:pPr>
      <w:r>
        <w:t>日本的教訓：避險成本可以吃掉全部利差，2022 年後日本壽險避險美債回報轉負、2023 財年大型壽險賣美債回買日債。</w:t>
      </w:r>
    </w:p>
    <w:p>
      <w:r>
        <w:rPr>
          <w:b/>
        </w:rPr>
        <w:t>客觀判斷（主代理推論，非事實）</w:t>
      </w:r>
      <w:r>
        <w:t>：</w:t>
      </w:r>
    </w:p>
    <w:p>
      <w:pPr>
        <w:pStyle w:val="ListNumber"/>
      </w:pPr>
      <w:r>
        <w:t>短期（1～3 年）境外占比從 1.6% 升到 5% 以上的機率低；外匯管制是硬約束，監管放寬是「有管理的漸進」。</w:t>
      </w:r>
    </w:p>
    <w:p>
      <w:pPr>
        <w:pStyle w:val="ListNumber"/>
      </w:pPr>
      <w:r>
        <w:t>路徑是「先港後外、先債後股、先人民幣後美元」：香港與離岸人民幣債券是主戰場，美元核心資產受地緣風險與避險成本雙重壓制。</w:t>
      </w:r>
    </w:p>
    <w:p>
      <w:pPr>
        <w:pStyle w:val="ListNumber"/>
      </w:pPr>
      <w:r>
        <w:t>國有險企（正是財政部剛注資的這幾家）的海外配置不可能脫離國家對外金融安全考量；它們更可能配合「一帶一路」基礎設施與人民幣國際化，而不是複製日本壽險買美債。</w:t>
      </w:r>
    </w:p>
    <w:p>
      <w:pPr>
        <w:pStyle w:val="ListNumber"/>
      </w:pPr>
      <w:r>
        <w:t>中期（5～10 年）最可能的結果：境外占比緩升到 3%～5%，集中在港股高股息、點心債、少數歐洲與東南亞資產。大規模美元配置需要中美關係實質緩和，目前看不到。</w:t>
      </w:r>
    </w:p>
    <w:p>
      <w:pPr>
        <w:pStyle w:val="ListNumber"/>
      </w:pPr>
      <w:r>
        <w:t>因此，日本走出利差損的第二條路，對中國基本不通。中國只能靠壓負債成本、拉長資產久期、擴大國內權益與另類配置、以及財政與監管兜底。這反過來解釋了為什麼財政注資與「長錢入市」會綁在一起。</w:t>
      </w:r>
    </w:p>
    <w:p>
      <w:pPr>
        <w:pStyle w:val="Heading3"/>
      </w:pPr>
      <w:r>
        <w:t>五、機會面（附數字）</w:t>
      </w:r>
    </w:p>
    <w:p>
      <w:pPr>
        <w:pStyle w:val="ListBullet"/>
      </w:pPr>
      <w:r>
        <w:rPr>
          <w:b/>
        </w:rPr>
        <w:t>個人養老金</w:t>
      </w:r>
      <w:r>
        <w:t>：開戶 2025 年三季度末破 1.5 億，但「繳存冷」持續，開戶遠多於實際繳費；2026 年 6 月起儲蓄國債納入產品範圍。</w:t>
      </w:r>
    </w:p>
    <w:p>
      <w:pPr>
        <w:pStyle w:val="ListBullet"/>
      </w:pPr>
      <w:r>
        <w:rPr>
          <w:b/>
        </w:rPr>
        <w:t>商業健康險</w:t>
      </w:r>
      <w:r>
        <w:t>：2025 年保費 9,973 億、占行業 16.3%，但增速只有 2.04%，創五年新低；護理與失能險超 900 億，預期五年內占健康險兩成。</w:t>
      </w:r>
    </w:p>
    <w:p>
      <w:pPr>
        <w:pStyle w:val="ListBullet"/>
      </w:pPr>
      <w:r>
        <w:rPr>
          <w:b/>
        </w:rPr>
        <w:t>長護險</w:t>
      </w:r>
      <w:r>
        <w:t>：試點九年覆蓋近 3 億人、惠及 330 萬失能者、基金支出超千億；「十五五」由試點轉全面建制，成為社保「第六險」。</w:t>
      </w:r>
    </w:p>
    <w:p>
      <w:pPr>
        <w:pStyle w:val="ListBullet"/>
      </w:pPr>
      <w:r>
        <w:rPr>
          <w:b/>
        </w:rPr>
        <w:t>分紅險轉型</w:t>
      </w:r>
      <w:r>
        <w:t>：國壽 2025 年個險首年期交分紅險占比近 60%、新華 2025Q4 達 77%、2026Q1 行業主力產品中占 48%、2026 上半年分紅險保費 +94.4%。利率風險正在被轉移給保戶。</w:t>
      </w:r>
    </w:p>
    <w:p>
      <w:pPr>
        <w:pStyle w:val="ListBullet"/>
      </w:pPr>
      <w:r>
        <w:rPr>
          <w:b/>
        </w:rPr>
        <w:t>報行合一</w:t>
      </w:r>
      <w:r>
        <w:t>：銀保佣金平均降約 30%，新業務價值率改善。</w:t>
      </w:r>
    </w:p>
    <w:p>
      <w:pPr>
        <w:pStyle w:val="ListBullet"/>
      </w:pPr>
      <w:r>
        <w:rPr>
          <w:b/>
        </w:rPr>
        <w:t>新國十條（2024-09）</w:t>
      </w:r>
      <w:r>
        <w:t>：到 2029 年形成高質量發展框架、2035 年形成具國際競爭力的新格局；沒有量化指標。</w:t>
      </w:r>
    </w:p>
    <w:p>
      <w:pPr>
        <w:pStyle w:val="ListBullet"/>
      </w:pPr>
      <w:r>
        <w:rPr>
          <w:b/>
        </w:rPr>
        <w:t>出海</w:t>
      </w:r>
      <w:r>
        <w:t>：香港 2025 年個人新單保費 3,309 億港元（+50.6%）是中資險企財富管理外延的主平台；東南亞仍停留在意向層次，未找到落地案例。</w:t>
      </w:r>
    </w:p>
    <w:p>
      <w:pPr>
        <w:pStyle w:val="ListBullet"/>
      </w:pPr>
      <w:r>
        <w:rPr>
          <w:b/>
        </w:rPr>
        <w:t>AI</w:t>
      </w:r>
      <w:r>
        <w:t>：核保、理賠、客服全鏈條應用已確認，但可引用的降本百分比未找到。</w:t>
      </w:r>
    </w:p>
    <w:p>
      <w:pPr>
        <w:pStyle w:val="ListBullet"/>
      </w:pPr>
      <w:r>
        <w:rPr>
          <w:b/>
        </w:rPr>
        <w:t>機構展望</w:t>
      </w:r>
      <w:r>
        <w:t>：華泰證券認為 2026 年在低利率與報行合一下行業全面轉向分紅險，下半年政策紅利有望兌現、「資負匹配」是勝負關鍵，險資維持「固收打底、權益增強、另類補位」、全年可為股市帶來萬億級增量（使用者提供轉述）；開源證券以日韓為鑑判斷利差損「相對可控」；穆迪 2026 年 4 月把中國主權展望由負面調回穩定；中金、中信、國泰海通 2026 下半年展望與三大評級機構對行業整體的專項展望本次未找到。瑞再預期中國 2030 年代中期成為全球最大保險市場。</w:t>
      </w:r>
    </w:p>
    <w:p>
      <w:pPr>
        <w:pStyle w:val="Heading3"/>
      </w:pPr>
      <w:r>
        <w:t>六、觀察指標清單</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指標</w:t>
            </w:r>
          </w:p>
        </w:tc>
        <w:tc>
          <w:tcPr>
            <w:tcW w:type="dxa" w:w="3324"/>
          </w:tcPr>
          <w:p>
            <w:r>
              <w:rPr>
                <w:b/>
                <w:sz w:val="18"/>
              </w:rPr>
            </w:r>
            <w:r>
              <w:rPr>
                <w:b/>
                <w:sz w:val="18"/>
              </w:rPr>
              <w:t>頻率</w:t>
            </w:r>
          </w:p>
        </w:tc>
        <w:tc>
          <w:tcPr>
            <w:tcW w:type="dxa" w:w="3324"/>
          </w:tcPr>
          <w:p>
            <w:r>
              <w:rPr>
                <w:b/>
                <w:sz w:val="18"/>
              </w:rPr>
            </w:r>
            <w:r>
              <w:rPr>
                <w:b/>
                <w:sz w:val="18"/>
              </w:rPr>
              <w:t>看什麼</w:t>
            </w:r>
          </w:p>
        </w:tc>
      </w:tr>
      <w:tr>
        <w:tc>
          <w:tcPr>
            <w:tcW w:type="dxa" w:w="3324"/>
          </w:tcPr>
          <w:p>
            <w:r>
              <w:rPr>
                <w:sz w:val="18"/>
              </w:rPr>
            </w:r>
            <w:r>
              <w:rPr>
                <w:sz w:val="18"/>
              </w:rPr>
              <w:t>人身險公司核心／綜合充足率</w:t>
            </w:r>
          </w:p>
        </w:tc>
        <w:tc>
          <w:tcPr>
            <w:tcW w:type="dxa" w:w="3324"/>
          </w:tcPr>
          <w:p>
            <w:r>
              <w:rPr>
                <w:sz w:val="18"/>
              </w:rPr>
            </w:r>
            <w:r>
              <w:rPr>
                <w:sz w:val="18"/>
              </w:rPr>
              <w:t>季</w:t>
            </w:r>
          </w:p>
        </w:tc>
        <w:tc>
          <w:tcPr>
            <w:tcW w:type="dxa" w:w="3324"/>
          </w:tcPr>
          <w:p>
            <w:r>
              <w:rPr>
                <w:sz w:val="18"/>
              </w:rPr>
            </w:r>
            <w:r>
              <w:rPr>
                <w:sz w:val="18"/>
              </w:rPr>
              <w:t>是否跌破 115%／165% 平台</w:t>
            </w:r>
          </w:p>
        </w:tc>
      </w:tr>
      <w:tr>
        <w:tc>
          <w:tcPr>
            <w:tcW w:type="dxa" w:w="3324"/>
          </w:tcPr>
          <w:p>
            <w:r>
              <w:rPr>
                <w:sz w:val="18"/>
              </w:rPr>
            </w:r>
            <w:r>
              <w:rPr>
                <w:sz w:val="18"/>
              </w:rPr>
              <w:t>中再、太平人壽、新華、中郵人壽充足率</w:t>
            </w:r>
          </w:p>
        </w:tc>
        <w:tc>
          <w:tcPr>
            <w:tcW w:type="dxa" w:w="3324"/>
          </w:tcPr>
          <w:p>
            <w:r>
              <w:rPr>
                <w:sz w:val="18"/>
              </w:rPr>
            </w:r>
            <w:r>
              <w:rPr>
                <w:sz w:val="18"/>
              </w:rPr>
              <w:t>季</w:t>
            </w:r>
          </w:p>
        </w:tc>
        <w:tc>
          <w:tcPr>
            <w:tcW w:type="dxa" w:w="3324"/>
          </w:tcPr>
          <w:p>
            <w:r>
              <w:rPr>
                <w:sz w:val="18"/>
              </w:rPr>
            </w:r>
            <w:r>
              <w:rPr>
                <w:sz w:val="18"/>
              </w:rPr>
              <w:t>急性症狀是否擴散</w:t>
            </w:r>
          </w:p>
        </w:tc>
      </w:tr>
      <w:tr>
        <w:tc>
          <w:tcPr>
            <w:tcW w:type="dxa" w:w="3324"/>
          </w:tcPr>
          <w:p>
            <w:r>
              <w:rPr>
                <w:sz w:val="18"/>
              </w:rPr>
            </w:r>
            <w:r>
              <w:rPr>
                <w:sz w:val="18"/>
              </w:rPr>
              <w:t>10 年與 30 年國債收益率、750 日曲線</w:t>
            </w:r>
          </w:p>
        </w:tc>
        <w:tc>
          <w:tcPr>
            <w:tcW w:type="dxa" w:w="3324"/>
          </w:tcPr>
          <w:p>
            <w:r>
              <w:rPr>
                <w:sz w:val="18"/>
              </w:rPr>
            </w:r>
            <w:r>
              <w:rPr>
                <w:sz w:val="18"/>
              </w:rPr>
              <w:t>月</w:t>
            </w:r>
          </w:p>
        </w:tc>
        <w:tc>
          <w:tcPr>
            <w:tcW w:type="dxa" w:w="3324"/>
          </w:tcPr>
          <w:p>
            <w:r>
              <w:rPr>
                <w:sz w:val="18"/>
              </w:rPr>
            </w:r>
            <w:r>
              <w:rPr>
                <w:sz w:val="18"/>
              </w:rPr>
              <w:t>曲線是否再下 20bp</w:t>
            </w:r>
          </w:p>
        </w:tc>
      </w:tr>
      <w:tr>
        <w:tc>
          <w:tcPr>
            <w:tcW w:type="dxa" w:w="3324"/>
          </w:tcPr>
          <w:p>
            <w:r>
              <w:rPr>
                <w:sz w:val="18"/>
              </w:rPr>
            </w:r>
            <w:r>
              <w:rPr>
                <w:sz w:val="18"/>
              </w:rPr>
              <w:t>預定利率研究值</w:t>
            </w:r>
          </w:p>
        </w:tc>
        <w:tc>
          <w:tcPr>
            <w:tcW w:type="dxa" w:w="3324"/>
          </w:tcPr>
          <w:p>
            <w:r>
              <w:rPr>
                <w:sz w:val="18"/>
              </w:rPr>
            </w:r>
            <w:r>
              <w:rPr>
                <w:sz w:val="18"/>
              </w:rPr>
              <w:t>季</w:t>
            </w:r>
          </w:p>
        </w:tc>
        <w:tc>
          <w:tcPr>
            <w:tcW w:type="dxa" w:w="3324"/>
          </w:tcPr>
          <w:p>
            <w:r>
              <w:rPr>
                <w:sz w:val="18"/>
              </w:rPr>
            </w:r>
            <w:r>
              <w:rPr>
                <w:sz w:val="18"/>
              </w:rPr>
              <w:t>是否觸發再降（研究值低於上限 25bp 連續兩季）</w:t>
            </w:r>
          </w:p>
        </w:tc>
      </w:tr>
      <w:tr>
        <w:tc>
          <w:tcPr>
            <w:tcW w:type="dxa" w:w="3324"/>
          </w:tcPr>
          <w:p>
            <w:r>
              <w:rPr>
                <w:sz w:val="18"/>
              </w:rPr>
            </w:r>
            <w:r>
              <w:rPr>
                <w:sz w:val="18"/>
              </w:rPr>
              <w:t>險企發債與增資規模</w:t>
            </w:r>
          </w:p>
        </w:tc>
        <w:tc>
          <w:tcPr>
            <w:tcW w:type="dxa" w:w="3324"/>
          </w:tcPr>
          <w:p>
            <w:r>
              <w:rPr>
                <w:sz w:val="18"/>
              </w:rPr>
            </w:r>
            <w:r>
              <w:rPr>
                <w:sz w:val="18"/>
              </w:rPr>
              <w:t>季</w:t>
            </w:r>
          </w:p>
        </w:tc>
        <w:tc>
          <w:tcPr>
            <w:tcW w:type="dxa" w:w="3324"/>
          </w:tcPr>
          <w:p>
            <w:r>
              <w:rPr>
                <w:sz w:val="18"/>
              </w:rPr>
            </w:r>
            <w:r>
              <w:rPr>
                <w:sz w:val="18"/>
              </w:rPr>
              <w:t>是否超過 2024 年的 1,000 億以上</w:t>
            </w:r>
          </w:p>
        </w:tc>
      </w:tr>
      <w:tr>
        <w:tc>
          <w:tcPr>
            <w:tcW w:type="dxa" w:w="3324"/>
          </w:tcPr>
          <w:p>
            <w:r>
              <w:rPr>
                <w:sz w:val="18"/>
              </w:rPr>
            </w:r>
            <w:r>
              <w:rPr>
                <w:sz w:val="18"/>
              </w:rPr>
              <w:t>不達標與未披露公司名單</w:t>
            </w:r>
          </w:p>
        </w:tc>
        <w:tc>
          <w:tcPr>
            <w:tcW w:type="dxa" w:w="3324"/>
          </w:tcPr>
          <w:p>
            <w:r>
              <w:rPr>
                <w:sz w:val="18"/>
              </w:rPr>
            </w:r>
            <w:r>
              <w:rPr>
                <w:sz w:val="18"/>
              </w:rPr>
              <w:t>季</w:t>
            </w:r>
          </w:p>
        </w:tc>
        <w:tc>
          <w:tcPr>
            <w:tcW w:type="dxa" w:w="3324"/>
          </w:tcPr>
          <w:p>
            <w:r>
              <w:rPr>
                <w:sz w:val="18"/>
              </w:rPr>
            </w:r>
            <w:r>
              <w:rPr>
                <w:sz w:val="18"/>
              </w:rPr>
              <w:t>未披露家數是否增加</w:t>
            </w:r>
          </w:p>
        </w:tc>
      </w:tr>
      <w:tr>
        <w:tc>
          <w:tcPr>
            <w:tcW w:type="dxa" w:w="3324"/>
          </w:tcPr>
          <w:p>
            <w:r>
              <w:rPr>
                <w:sz w:val="18"/>
              </w:rPr>
            </w:r>
            <w:r>
              <w:rPr>
                <w:sz w:val="18"/>
              </w:rPr>
              <w:t>保險保障基金餘額與新承接案</w:t>
            </w:r>
          </w:p>
        </w:tc>
        <w:tc>
          <w:tcPr>
            <w:tcW w:type="dxa" w:w="3324"/>
          </w:tcPr>
          <w:p>
            <w:r>
              <w:rPr>
                <w:sz w:val="18"/>
              </w:rPr>
            </w:r>
            <w:r>
              <w:rPr>
                <w:sz w:val="18"/>
              </w:rPr>
              <w:t>年</w:t>
            </w:r>
          </w:p>
        </w:tc>
        <w:tc>
          <w:tcPr>
            <w:tcW w:type="dxa" w:w="3324"/>
          </w:tcPr>
          <w:p>
            <w:r>
              <w:rPr>
                <w:sz w:val="18"/>
              </w:rPr>
            </w:r>
            <w:r>
              <w:rPr>
                <w:sz w:val="18"/>
              </w:rPr>
              <w:t>兜底能力</w:t>
            </w:r>
          </w:p>
        </w:tc>
      </w:tr>
      <w:tr>
        <w:tc>
          <w:tcPr>
            <w:tcW w:type="dxa" w:w="3324"/>
          </w:tcPr>
          <w:p>
            <w:r>
              <w:rPr>
                <w:sz w:val="18"/>
              </w:rPr>
            </w:r>
            <w:r>
              <w:rPr>
                <w:sz w:val="18"/>
              </w:rPr>
              <w:t>QDII 額度、南向通額度、境外占比</w:t>
            </w:r>
          </w:p>
        </w:tc>
        <w:tc>
          <w:tcPr>
            <w:tcW w:type="dxa" w:w="3324"/>
          </w:tcPr>
          <w:p>
            <w:r>
              <w:rPr>
                <w:sz w:val="18"/>
              </w:rPr>
            </w:r>
            <w:r>
              <w:rPr>
                <w:sz w:val="18"/>
              </w:rPr>
              <w:t>季</w:t>
            </w:r>
          </w:p>
        </w:tc>
        <w:tc>
          <w:tcPr>
            <w:tcW w:type="dxa" w:w="3324"/>
          </w:tcPr>
          <w:p>
            <w:r>
              <w:rPr>
                <w:sz w:val="18"/>
              </w:rPr>
            </w:r>
            <w:r>
              <w:rPr>
                <w:sz w:val="18"/>
              </w:rPr>
              <w:t>出海是否真的加速</w:t>
            </w:r>
          </w:p>
        </w:tc>
      </w:tr>
      <w:tr>
        <w:tc>
          <w:tcPr>
            <w:tcW w:type="dxa" w:w="3324"/>
          </w:tcPr>
          <w:p>
            <w:r>
              <w:rPr>
                <w:sz w:val="18"/>
              </w:rPr>
            </w:r>
            <w:r>
              <w:rPr>
                <w:sz w:val="18"/>
              </w:rPr>
              <w:t>償三代或新規則立項</w:t>
            </w:r>
          </w:p>
        </w:tc>
        <w:tc>
          <w:tcPr>
            <w:tcW w:type="dxa" w:w="3324"/>
          </w:tcPr>
          <w:p>
            <w:r>
              <w:rPr>
                <w:sz w:val="18"/>
              </w:rPr>
            </w:r>
            <w:r>
              <w:rPr>
                <w:sz w:val="18"/>
              </w:rPr>
              <w:t>事件</w:t>
            </w:r>
          </w:p>
        </w:tc>
        <w:tc>
          <w:tcPr>
            <w:tcW w:type="dxa" w:w="3324"/>
          </w:tcPr>
          <w:p>
            <w:r>
              <w:rPr>
                <w:sz w:val="18"/>
              </w:rPr>
            </w:r>
            <w:r>
              <w:rPr>
                <w:sz w:val="18"/>
              </w:rPr>
              <w:t>第三次「規則性跳水」的可能</w:t>
            </w:r>
          </w:p>
        </w:tc>
      </w:tr>
      <w:tr>
        <w:tc>
          <w:tcPr>
            <w:tcW w:type="dxa" w:w="3324"/>
          </w:tcPr>
          <w:p>
            <w:r>
              <w:rPr>
                <w:sz w:val="18"/>
              </w:rPr>
            </w:r>
            <w:r>
              <w:rPr>
                <w:sz w:val="18"/>
              </w:rPr>
              <w:t>養老 REITs 首單</w:t>
            </w:r>
          </w:p>
        </w:tc>
        <w:tc>
          <w:tcPr>
            <w:tcW w:type="dxa" w:w="3324"/>
          </w:tcPr>
          <w:p>
            <w:r>
              <w:rPr>
                <w:sz w:val="18"/>
              </w:rPr>
            </w:r>
            <w:r>
              <w:rPr>
                <w:sz w:val="18"/>
              </w:rPr>
              <w:t>事件</w:t>
            </w:r>
          </w:p>
        </w:tc>
        <w:tc>
          <w:tcPr>
            <w:tcW w:type="dxa" w:w="3324"/>
          </w:tcPr>
          <w:p>
            <w:r>
              <w:rPr>
                <w:sz w:val="18"/>
              </w:rPr>
            </w:r>
            <w:r>
              <w:rPr>
                <w:sz w:val="18"/>
              </w:rPr>
              <w:t>重資產能否轉輕</w:t>
            </w:r>
          </w:p>
        </w:tc>
      </w:tr>
    </w:tbl>
    <w:p/>
    <w:p>
      <w:pPr>
        <w:pStyle w:val="Heading2"/>
      </w:pPr>
      <w:r>
        <w:t>附錄　方法、限制與工單索引</w:t>
      </w:r>
    </w:p>
    <w:p>
      <w:pPr>
        <w:pStyle w:val="Heading3"/>
      </w:pPr>
      <w:r>
        <w:t>一、方法與限制</w:t>
      </w:r>
    </w:p>
    <w:p>
      <w:pPr>
        <w:pStyle w:val="ListBullet"/>
      </w:pPr>
      <w:r>
        <w:t>本環境的網路出口封鎖所有中國官方、公司與財經網站，以及多數國際媒體，超過 200 次抓取無一成功。全部數字來自搜尋摘要多來源交叉比對，未讀原文。</w:t>
      </w:r>
    </w:p>
    <w:p>
      <w:pPr>
        <w:pStyle w:val="ListBullet"/>
      </w:pPr>
      <w:r>
        <w:t>六個子代理共用一個 200 次搜尋額度，EXT-6 只完成 8 次、EXT-4 與 EXT-5 各約 23 次即中止；主代理親自補查海外投資、生命表、保障基金、五家資本數據（約 30 次），並派 GAP-1、GAP-2 補其餘缺口。</w:t>
      </w:r>
    </w:p>
    <w:p>
      <w:pPr>
        <w:pStyle w:val="ListBullet"/>
      </w:pPr>
      <w:r>
        <w:t>演算與推論均已標註；「未找到」即未找到，未以推估填補。</w:t>
      </w:r>
    </w:p>
    <w:p>
      <w:pPr>
        <w:pStyle w:val="ListBullet"/>
      </w:pPr>
      <w:r>
        <w:t>本報告僅有兩份一手原文：太平人壽 2026Q1 償付能力報告摘要（使用者上傳 PDF）與中國太平集團 2025 年度信息披露報告償付能力表（使用者提供截圖），其餘皆為轉述。</w:t>
      </w:r>
    </w:p>
    <w:p>
      <w:pPr>
        <w:pStyle w:val="ListBullet"/>
      </w:pPr>
      <w:r>
        <w:t>已辨識並排除的資料陷阱：搜尋摘要把「中國太平」譯成「China Pacific Insurance」（太保）；國壽 2026Q1 最低資本數字自相矛盾（採 Q2）；太平人壽 2026Q1「實際資本 261.45 億」為小數點錯誤（實為約 2,614 億）；QDII 額度「保險 406 億美元大於全市場 176 億美元」為單位混淆（全市場為 1,761.69 億美元）；GAP-2 把中國 2026Q1 行業充足率誤標為台灣 ICS 數字（已剔除）；人保財險與人保壽險 2024 年末數字疑與集團數字混淆（未採用）；股票因子調降「2025 年 5 月」實為預告，正式落地是 12 月 5 日。</w:t>
      </w:r>
    </w:p>
    <w:p>
      <w:pPr>
        <w:pStyle w:val="Heading3"/>
      </w:pPr>
      <w:r>
        <w:t>二、工單索引與主代理審核意見</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檔案</w:t>
            </w:r>
          </w:p>
        </w:tc>
        <w:tc>
          <w:tcPr>
            <w:tcW w:type="dxa" w:w="3324"/>
          </w:tcPr>
          <w:p>
            <w:r>
              <w:rPr>
                <w:b/>
                <w:sz w:val="18"/>
              </w:rPr>
            </w:r>
            <w:r>
              <w:rPr>
                <w:b/>
                <w:sz w:val="18"/>
              </w:rPr>
              <w:t>內容</w:t>
            </w:r>
          </w:p>
        </w:tc>
        <w:tc>
          <w:tcPr>
            <w:tcW w:type="dxa" w:w="3324"/>
          </w:tcPr>
          <w:p>
            <w:r>
              <w:rPr>
                <w:b/>
                <w:sz w:val="18"/>
              </w:rPr>
            </w:r>
            <w:r>
              <w:rPr>
                <w:b/>
                <w:sz w:val="18"/>
              </w:rPr>
              <w:t>審核意見</w:t>
            </w:r>
          </w:p>
        </w:tc>
      </w:tr>
      <w:tr>
        <w:tc>
          <w:tcPr>
            <w:tcW w:type="dxa" w:w="3324"/>
          </w:tcPr>
          <w:p>
            <w:r>
              <w:rPr>
                <w:sz w:val="18"/>
              </w:rPr>
            </w:r>
            <w:r>
              <w:rPr>
                <w:rFonts w:ascii="Consolas" w:hAnsi="Consolas"/>
                <w:sz w:val="18"/>
              </w:rPr>
              <w:t>findings/EXT-1_capital_need.md</w:t>
            </w:r>
          </w:p>
        </w:tc>
        <w:tc>
          <w:tcPr>
            <w:tcW w:type="dxa" w:w="3324"/>
          </w:tcPr>
          <w:p>
            <w:r>
              <w:rPr>
                <w:sz w:val="18"/>
              </w:rPr>
            </w:r>
            <w:r>
              <w:rPr>
                <w:sz w:val="18"/>
              </w:rPr>
              <w:t>五家 + 對照組資本數據、分紅、發債、評語、正反意見</w:t>
            </w:r>
          </w:p>
        </w:tc>
        <w:tc>
          <w:tcPr>
            <w:tcW w:type="dxa" w:w="3324"/>
          </w:tcPr>
          <w:p>
            <w:r>
              <w:rPr>
                <w:sz w:val="18"/>
              </w:rPr>
            </w:r>
            <w:r>
              <w:rPr>
                <w:sz w:val="18"/>
              </w:rPr>
              <w:t>採用；最大貢獻是找到中再 2026Q1 暴跌與太平人壽兩季降 22 個百分點；2022～2024 序列缺口交 GAP-2</w:t>
            </w:r>
          </w:p>
        </w:tc>
      </w:tr>
      <w:tr>
        <w:tc>
          <w:tcPr>
            <w:tcW w:type="dxa" w:w="3324"/>
          </w:tcPr>
          <w:p>
            <w:r>
              <w:rPr>
                <w:sz w:val="18"/>
              </w:rPr>
            </w:r>
            <w:r>
              <w:rPr>
                <w:rFonts w:ascii="Consolas" w:hAnsi="Consolas"/>
                <w:sz w:val="18"/>
              </w:rPr>
              <w:t>findings/EXT-2_solvency.md</w:t>
            </w:r>
            <w:r>
              <w:rPr>
                <w:sz w:val="18"/>
              </w:rPr>
              <w:t xml:space="preserve"> + 兩個 CSV</w:t>
            </w:r>
          </w:p>
        </w:tc>
        <w:tc>
          <w:tcPr>
            <w:tcW w:type="dxa" w:w="3324"/>
          </w:tcPr>
          <w:p>
            <w:r>
              <w:rPr>
                <w:sz w:val="18"/>
              </w:rPr>
            </w:r>
            <w:r>
              <w:rPr>
                <w:sz w:val="18"/>
              </w:rPr>
              <w:t>行業曲線、公司快照、28 家不達標追蹤</w:t>
            </w:r>
          </w:p>
        </w:tc>
        <w:tc>
          <w:tcPr>
            <w:tcW w:type="dxa" w:w="3324"/>
          </w:tcPr>
          <w:p>
            <w:r>
              <w:rPr>
                <w:sz w:val="18"/>
              </w:rPr>
            </w:r>
            <w:r>
              <w:rPr>
                <w:sz w:val="18"/>
              </w:rPr>
              <w:t>採用；行業曲線可信度高；不達標追蹤是本報告最有價值的原始表之一</w:t>
            </w:r>
          </w:p>
        </w:tc>
      </w:tr>
      <w:tr>
        <w:tc>
          <w:tcPr>
            <w:tcW w:type="dxa" w:w="3324"/>
          </w:tcPr>
          <w:p>
            <w:r>
              <w:rPr>
                <w:sz w:val="18"/>
              </w:rPr>
            </w:r>
            <w:r>
              <w:rPr>
                <w:rFonts w:ascii="Consolas" w:hAnsi="Consolas"/>
                <w:sz w:val="18"/>
              </w:rPr>
              <w:t>findings/EXT-3_investment.md</w:t>
            </w:r>
          </w:p>
        </w:tc>
        <w:tc>
          <w:tcPr>
            <w:tcW w:type="dxa" w:w="3324"/>
          </w:tcPr>
          <w:p>
            <w:r>
              <w:rPr>
                <w:sz w:val="18"/>
              </w:rPr>
            </w:r>
            <w:r>
              <w:rPr>
                <w:sz w:val="18"/>
              </w:rPr>
              <w:t>資金運用結構、收益率、權益策略、久期、資產荒</w:t>
            </w:r>
          </w:p>
        </w:tc>
        <w:tc>
          <w:tcPr>
            <w:tcW w:type="dxa" w:w="3324"/>
          </w:tcPr>
          <w:p>
            <w:r>
              <w:rPr>
                <w:sz w:val="18"/>
              </w:rPr>
            </w:r>
            <w:r>
              <w:rPr>
                <w:sz w:val="18"/>
              </w:rPr>
              <w:t>採用；QDII 單位矛盾已由主代理更正</w:t>
            </w:r>
          </w:p>
        </w:tc>
      </w:tr>
      <w:tr>
        <w:tc>
          <w:tcPr>
            <w:tcW w:type="dxa" w:w="3324"/>
          </w:tcPr>
          <w:p>
            <w:r>
              <w:rPr>
                <w:sz w:val="18"/>
              </w:rPr>
            </w:r>
            <w:r>
              <w:rPr>
                <w:rFonts w:ascii="Consolas" w:hAnsi="Consolas"/>
                <w:sz w:val="18"/>
              </w:rPr>
              <w:t>findings/EXT-4_cross.md</w:t>
            </w:r>
          </w:p>
        </w:tc>
        <w:tc>
          <w:tcPr>
            <w:tcW w:type="dxa" w:w="3324"/>
          </w:tcPr>
          <w:p>
            <w:r>
              <w:rPr>
                <w:sz w:val="18"/>
              </w:rPr>
            </w:r>
            <w:r>
              <w:rPr>
                <w:sz w:val="18"/>
              </w:rPr>
              <w:t>償二代二期規則、因子、歷次演變、跨制度對照</w:t>
            </w:r>
          </w:p>
        </w:tc>
        <w:tc>
          <w:tcPr>
            <w:tcW w:type="dxa" w:w="3324"/>
          </w:tcPr>
          <w:p>
            <w:r>
              <w:rPr>
                <w:sz w:val="18"/>
              </w:rPr>
            </w:r>
            <w:r>
              <w:rPr>
                <w:sz w:val="18"/>
              </w:rPr>
              <w:t>採用；因子未核對原文；台灣與歐美因子交 GAP-2</w:t>
            </w:r>
          </w:p>
        </w:tc>
      </w:tr>
      <w:tr>
        <w:tc>
          <w:tcPr>
            <w:tcW w:type="dxa" w:w="3324"/>
          </w:tcPr>
          <w:p>
            <w:r>
              <w:rPr>
                <w:sz w:val="18"/>
              </w:rPr>
            </w:r>
            <w:r>
              <w:rPr>
                <w:rFonts w:ascii="Consolas" w:hAnsi="Consolas"/>
                <w:sz w:val="18"/>
              </w:rPr>
              <w:t>findings/EXT-5_senior_living.md</w:t>
            </w:r>
          </w:p>
        </w:tc>
        <w:tc>
          <w:tcPr>
            <w:tcW w:type="dxa" w:w="3324"/>
          </w:tcPr>
          <w:p>
            <w:r>
              <w:rPr>
                <w:sz w:val="18"/>
              </w:rPr>
            </w:r>
            <w:r>
              <w:rPr>
                <w:sz w:val="18"/>
              </w:rPr>
              <w:t>各家養老社區布局、模式、監管、財務、需求、國際</w:t>
            </w:r>
          </w:p>
        </w:tc>
        <w:tc>
          <w:tcPr>
            <w:tcW w:type="dxa" w:w="3324"/>
          </w:tcPr>
          <w:p>
            <w:r>
              <w:rPr>
                <w:sz w:val="18"/>
              </w:rPr>
            </w:r>
            <w:r>
              <w:rPr>
                <w:sz w:val="18"/>
              </w:rPr>
              <w:t>採用；日本與台灣案例未找到</w:t>
            </w:r>
          </w:p>
        </w:tc>
      </w:tr>
      <w:tr>
        <w:tc>
          <w:tcPr>
            <w:tcW w:type="dxa" w:w="3324"/>
          </w:tcPr>
          <w:p>
            <w:r>
              <w:rPr>
                <w:sz w:val="18"/>
              </w:rPr>
            </w:r>
            <w:r>
              <w:rPr>
                <w:rFonts w:ascii="Consolas" w:hAnsi="Consolas"/>
                <w:sz w:val="18"/>
              </w:rPr>
              <w:t>findings/EXT-6_outlook.md</w:t>
            </w:r>
          </w:p>
        </w:tc>
        <w:tc>
          <w:tcPr>
            <w:tcW w:type="dxa" w:w="3324"/>
          </w:tcPr>
          <w:p>
            <w:r>
              <w:rPr>
                <w:sz w:val="18"/>
              </w:rPr>
            </w:r>
            <w:r>
              <w:rPr>
                <w:sz w:val="18"/>
              </w:rPr>
              <w:t>日本鏡像、預定利率歷程、負債成本</w:t>
            </w:r>
          </w:p>
        </w:tc>
        <w:tc>
          <w:tcPr>
            <w:tcW w:type="dxa" w:w="3324"/>
          </w:tcPr>
          <w:p>
            <w:r>
              <w:rPr>
                <w:sz w:val="18"/>
              </w:rPr>
            </w:r>
            <w:r>
              <w:rPr>
                <w:sz w:val="18"/>
              </w:rPr>
              <w:t>部分採用；其餘由主代理與 GAP-1 補</w:t>
            </w:r>
          </w:p>
        </w:tc>
      </w:tr>
      <w:tr>
        <w:tc>
          <w:tcPr>
            <w:tcW w:type="dxa" w:w="3324"/>
          </w:tcPr>
          <w:p>
            <w:r>
              <w:rPr>
                <w:sz w:val="18"/>
              </w:rPr>
            </w:r>
            <w:r>
              <w:rPr>
                <w:rFonts w:ascii="Consolas" w:hAnsi="Consolas"/>
                <w:sz w:val="18"/>
              </w:rPr>
              <w:t>findings/EXT-6B_overseas_by_lead.md</w:t>
            </w:r>
          </w:p>
        </w:tc>
        <w:tc>
          <w:tcPr>
            <w:tcW w:type="dxa" w:w="3324"/>
          </w:tcPr>
          <w:p>
            <w:r>
              <w:rPr>
                <w:sz w:val="18"/>
              </w:rPr>
            </w:r>
            <w:r>
              <w:rPr>
                <w:sz w:val="18"/>
              </w:rPr>
              <w:t>海外投資制度、現況、推力、阻力、政治判斷；生命表；保障基金</w:t>
            </w:r>
          </w:p>
        </w:tc>
        <w:tc>
          <w:tcPr>
            <w:tcW w:type="dxa" w:w="3324"/>
          </w:tcPr>
          <w:p>
            <w:r>
              <w:rPr>
                <w:sz w:val="18"/>
              </w:rPr>
            </w:r>
            <w:r>
              <w:rPr>
                <w:sz w:val="18"/>
              </w:rPr>
              <w:t>主代理親自蒐集</w:t>
            </w:r>
          </w:p>
        </w:tc>
      </w:tr>
      <w:tr>
        <w:tc>
          <w:tcPr>
            <w:tcW w:type="dxa" w:w="3324"/>
          </w:tcPr>
          <w:p>
            <w:r>
              <w:rPr>
                <w:sz w:val="18"/>
              </w:rPr>
            </w:r>
            <w:r>
              <w:rPr>
                <w:rFonts w:ascii="Consolas" w:hAnsi="Consolas"/>
                <w:sz w:val="18"/>
              </w:rPr>
              <w:t>findings/GAP-1_outlook_fill.md</w:t>
            </w:r>
          </w:p>
        </w:tc>
        <w:tc>
          <w:tcPr>
            <w:tcW w:type="dxa" w:w="3324"/>
          </w:tcPr>
          <w:p>
            <w:r>
              <w:rPr>
                <w:sz w:val="18"/>
              </w:rPr>
            </w:r>
            <w:r>
              <w:rPr>
                <w:sz w:val="18"/>
              </w:rPr>
              <w:t>人口、巨災、新國十條、報行合一、分紅險、行業結構、個人養老金、健康險、長護險、出海、展望</w:t>
            </w:r>
          </w:p>
        </w:tc>
        <w:tc>
          <w:tcPr>
            <w:tcW w:type="dxa" w:w="3324"/>
          </w:tcPr>
          <w:p>
            <w:r>
              <w:rPr>
                <w:sz w:val="18"/>
              </w:rPr>
            </w:r>
            <w:r>
              <w:rPr>
                <w:sz w:val="18"/>
              </w:rPr>
              <w:t>採用；新發現安邦 2026 年清算、股權流拍案例</w:t>
            </w:r>
          </w:p>
        </w:tc>
      </w:tr>
      <w:tr>
        <w:tc>
          <w:tcPr>
            <w:tcW w:type="dxa" w:w="3324"/>
          </w:tcPr>
          <w:p>
            <w:r>
              <w:rPr>
                <w:sz w:val="18"/>
              </w:rPr>
            </w:r>
            <w:r>
              <w:rPr>
                <w:rFonts w:ascii="Consolas" w:hAnsi="Consolas"/>
                <w:sz w:val="18"/>
              </w:rPr>
              <w:t>findings/SRC_taipinglife_2026Q1.md</w:t>
            </w:r>
          </w:p>
        </w:tc>
        <w:tc>
          <w:tcPr>
            <w:tcW w:type="dxa" w:w="3324"/>
          </w:tcPr>
          <w:p>
            <w:r>
              <w:rPr>
                <w:sz w:val="18"/>
              </w:rPr>
            </w:r>
            <w:r>
              <w:rPr>
                <w:sz w:val="18"/>
              </w:rPr>
              <w:t>太平人壽 2026Q1 原文摘錄 + 太平集團 2025 年末原文表</w:t>
            </w:r>
          </w:p>
        </w:tc>
        <w:tc>
          <w:tcPr>
            <w:tcW w:type="dxa" w:w="3324"/>
          </w:tcPr>
          <w:p>
            <w:r>
              <w:rPr>
                <w:sz w:val="18"/>
              </w:rPr>
            </w:r>
            <w:r>
              <w:rPr>
                <w:sz w:val="18"/>
              </w:rPr>
              <w:t>一手來源；用於第一章補充力道重算</w:t>
            </w:r>
          </w:p>
        </w:tc>
      </w:tr>
      <w:tr>
        <w:tc>
          <w:tcPr>
            <w:tcW w:type="dxa" w:w="3324"/>
          </w:tcPr>
          <w:p>
            <w:r>
              <w:rPr>
                <w:sz w:val="18"/>
              </w:rPr>
            </w:r>
            <w:r>
              <w:rPr>
                <w:rFonts w:ascii="Consolas" w:hAnsi="Consolas"/>
                <w:sz w:val="18"/>
              </w:rPr>
              <w:t>findings/GAP-2_rules_series.md</w:t>
            </w:r>
          </w:p>
        </w:tc>
        <w:tc>
          <w:tcPr>
            <w:tcW w:type="dxa" w:w="3324"/>
          </w:tcPr>
          <w:p>
            <w:r>
              <w:rPr>
                <w:sz w:val="18"/>
              </w:rPr>
            </w:r>
            <w:r>
              <w:rPr>
                <w:sz w:val="18"/>
              </w:rPr>
              <w:t>台灣 TW-ICS、歐盟、美國因子；償二代利率情景法與 60 日曲線；股票因子落地日期更正；五家 2022～2024 序列</w:t>
            </w:r>
          </w:p>
        </w:tc>
        <w:tc>
          <w:tcPr>
            <w:tcW w:type="dxa" w:w="3324"/>
          </w:tcPr>
          <w:p>
            <w:r>
              <w:rPr>
                <w:sz w:val="18"/>
              </w:rPr>
            </w:r>
            <w:r>
              <w:rPr>
                <w:sz w:val="18"/>
              </w:rPr>
              <w:t>採用；中再與信保序列未搜尋（額度用盡）；台灣 2026Q1 數字誤植已剔除</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