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日初版；9 月 7 日補入人保定增預案條款、財新 19:03 更新版、華夏時報深度報導與專家解讀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17:37；</w:t>
            </w:r>
            <w:r>
              <w:rPr>
                <w:b/>
                <w:sz w:val="18"/>
              </w:rPr>
              <w:t>同日 19:03 更新為〈财政部首次注资险企 5家获700亿元（更新）〉</w:t>
            </w:r>
            <w:r>
              <w:rPr>
                <w:sz w:val="18"/>
              </w:rPr>
              <w:t>（finance.caixin.com/2026-09-06/102482419.html）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，所有內容是靠搜尋引擎摘要多來源交叉比對重建。9 月 7 日透過搜尋摘要取得財新更新版標題與導語要點、人保預案由使用者提供。可信度分級見各段標註。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rPr>
          <w:b/>
        </w:rPr>
        <w:t>名單已獲證實。</w:t>
      </w:r>
      <w:r>
        <w:t xml:space="preserve"> 財新當晚 19:03 把標題更新為「5 家獲 700 億元」，即上表 4 家再加上中國再保險（財政部認購 30 億元內資股）。截圖上的「4 家 670 億」是 17:37 的初版，中再的定增公告晚一步披露後財新補進去。本報告用算術推定的 4 家名單（含中國信保）與財新更新版完全一致。路透系英文通稿只算「3 家 570 億」，是因為它不把政策性的信保與再保險公司算作 insurers。</w:t>
      </w:r>
    </w:p>
    <w:p>
      <w:r>
        <w:rPr>
          <w:b/>
        </w:rPr>
        <w:t>錢從哪裡來。</w:t>
      </w:r>
      <w:r>
        <w:t xml:space="preserve"> 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億元由中國菸草總公司及其子公司認購工行、農行的定增補足。華夏時報 9 月 7 日的報導把這點說白了：「3,000 億元特別國債額度中，約有 700 億元統籌調整至保險機構」，「並非額外新增獨立額度，而是在金融注資總盤子內…做出的動態優化配置」。本報告 9 月 6 日以算術推得的結論，已獲媒體證實。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億」，讓保險提前一年多進場。財新更新版正文（經搜尋摘要）給的解釋與此一致：因政府工作報告未提保險機構，市場原以為保險資本補充要到 2027 年。財新同日另一篇〈第二批特別國債注資銀行落地 農行、工行、進出口行合計 2,300 億元〉也印證 2,300 + 700 = 3,000，就是同一筆特別國債。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財新正文全文（僅有摘要）、「首次」的精確定義（2023 年財政部已對中國太平注資過 25 億元；財新更新版用語為「首次系統性納入」）、人保定增最終價格與股數、注資是否附帶條件、9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：中新網、界面新聞、央廣網標題寫「財政部</w:t>
      </w:r>
      <w:r>
        <w:rPr>
          <w:b/>
        </w:rPr>
        <w:t>將</w:t>
      </w:r>
      <w:r>
        <w:t>發行（擬發行）3,000 億元特別國債支持 8 家中央金融企業補充核心一級資本」，字面上像是要新發一批。但 (a) 2026 年預算只有這一筆 3,000 億元注資特別國債；(b) 財政部認購總額恰好 3,000 億元；(c) 財新把銀行部分稱為「第二批特別國債注資銀行落地」（2,300 億元），加上保險 700 億元正好 3,000 億元。本報告判斷是</w:t>
      </w:r>
      <w:r>
        <w:rPr>
          <w:b/>
        </w:rPr>
        <w:t>同一筆額度</w:t>
      </w:r>
      <w:r>
        <w:t>；至於 5～6 月招標的是否已是全額、9 月是否還有後續發行或只是撥付，</w:t>
      </w:r>
      <w:r>
        <w:rPr>
          <w:b/>
        </w:rPr>
        <w:t>待財政部原文核實</w:t>
      </w:r>
      <w:r>
        <w:t>。</w:t>
      </w:r>
    </w:p>
    <w:p>
      <w:pPr>
        <w:pStyle w:val="ListBullet"/>
      </w:pPr>
      <w:r>
        <w:rPr>
          <w:b/>
        </w:rPr>
        <w:t>華夏時報的證實（9/7）</w:t>
      </w:r>
      <w:r>
        <w:t>：「3,000 億元特別國債額度中，約有 700 億元統籌調整至保險機構。這意味著，本次險企注資並非額外新增獨立額度，而是在金融注資總盤子內，根據不同機構的實際資本需求做出的動態優化配置。」這句話同時回答了資金來源與「相應優化」兩個問題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億元（參與問題險企處置）；本次 70 億後註冊資本由 270.69 億增至 340.69 億（使用者提供，算術一致）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億元（出資方未查得）；本次 100 億後推算為 561.25 億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 9 月 6 日晚間披露的《向特定對象發行 A 股股票預案》核心條款如下（依使用者提供之預案整理，9 月 7 日補入）：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預案內容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發行對象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財政部，以現金全額認購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億元（含）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定價基準日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發行期首日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定價原則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不低於定價基準日前 20 個交易日 A 股均價（進一法保留兩位小數），最終價格待監管批復後確定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發行數量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 ÷ 發行價格，且不超過發行前總股本的 10%，以監管核准／註冊數量為準（市場推估：若以約 7.41 元／股計，約 20.2 億股，占發行前 442 億股約 4.6%；價格與股數均為推估）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財政部所認股份自登記日起 5 年內不得轉讓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決議有效期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股東會通過後 12 個月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資金用途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扣除費用後全部充實資本金（核心一級資本）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關聯交易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財政部現持 269.07 億股、60.84%，為控股股東，構成關聯交易；發行後控制權不變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滾存利潤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發行前未分配利潤由新老股東按發行後持股比例共享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審批鏈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董事會已通過（關聯董事迴避）→ 股東會逐項表決 → 金融監管總局批准 → 上交所審核 → 證監會同意註冊</w:t>
            </w:r>
          </w:p>
        </w:tc>
      </w:tr>
    </w:tbl>
    <w:p/>
    <w:p>
      <w:r>
        <w:t xml:space="preserve">三個值得注意的地方：(1) 定價下限是前 20 日均價的 </w:t>
      </w:r>
      <w:r>
        <w:rPr>
          <w:b/>
        </w:rPr>
        <w:t>100%</w:t>
      </w:r>
      <w:r>
        <w:t>，比一般定增規則的 80% 嚴格，等於財政部不打折入股，對中小股東的攤薄降到最低；2025 年大行案例更是溢價約 15% 認購。(2) 5 年鎖定與 2025 年大行案相同，財政部是長期持有而非財務投資。(3) 預案自述的目的直接點名「化解長期利差匹配壓力」與「發揮耐心資本角色」，與本報告第四部的原因診斷一致。最終發行價、股數、發行後財政部持股比例仍要等監管批復後才有。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公告另稱（華夏時報引述）：「科技保險、健康保險、巨災保險等重點業務賽道加速擴容，中長期資金配置、重大項目投資的規模持續擴大，這些都對公司的資本儲備提出了更高的要求。」</w:t>
      </w:r>
    </w:p>
    <w:p>
      <w:pPr>
        <w:pStyle w:val="ListBullet"/>
      </w:pPr>
      <w:r>
        <w:t>中國再保（華夏時報引述）：發行價 1.33 元／股「較其近期 H 股二級市場價格實現溢價發行」，認購方承諾長期持有；「支持中央金融企業補充核心一級資本，是國家一攬子增量政策的重要組成部分」。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財新導語「比預期提前」「相應優化」：9 月 7 日經財新站內搜尋摘要確認為原文導語，更新版保留同句；正文要點（經摘要）：這是保險機構首次被系統性納入國家金融機構資本補充框架；政府工作報告只提銀行，市場原以為保險要到 2027 年。</w:t>
      </w:r>
    </w:p>
    <w:p>
      <w:pPr>
        <w:pStyle w:val="ListBullet"/>
      </w:pPr>
      <w:r>
        <w:t>南開大學金融學教授田利輝（京報網／大眾新聞，9/6）：要從制度變化與宏觀兩個維度理解。制度面，最低資本計量標準全面趨嚴、風險因子普遍上調，行業償付能力充足率面臨系統性下行壓力；宏觀面，長期利率持續走低，750 日移動平均國債收益率曲線不斷下行，倒逼保險公司增提準備金，核心資本被動消耗。注資目的在對沖低利率侵蝕。</w:t>
      </w:r>
    </w:p>
    <w:p>
      <w:pPr>
        <w:pStyle w:val="ListBullet"/>
      </w:pPr>
      <w:r>
        <w:t>業內人士（南方財經，9/6）：這是「股東層面的預防性資本補充」，直接增厚一級資本，以應對低利率週期，並為擴大長期資金入市提供支撐；「穩金融」由銀行擴圍至險企。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億元（8 月 8 日披露股東財政部審議通過，10 月完成）：18.08 億計入實收資本、6.92 億計入資本公積，註冊資本增至 270.69 億；社保基金未跟投，財政部持股由 90% 升至 90.668%；背景是太平參與浙商銀行股權承接與華夏人壽處置（財新 2023-08-10、新浪 2023-08-12）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發稿「4 家 670 億」、19:03 更新為「5 家 700 億」（補入中再 30 億）；人保晚間披露定增預案（定價不低於前 20 日均價、5 年鎖定）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多來源一致；人保預案為使用者提供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。財新更新版的用語正是「保險機構首次被系統性納入國家金融機構資本補充框架」；彭博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財新導語的「預期」最符合第二、三層，財新更新版正文也是這樣解釋的：官方年度安排原本沒有保險，市場因此推斷要等到 2027 年，如今卻在同一筆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行業數字（華夏時報整理）：全行業平均綜合償付能力充足率由 2020 年末 246.3% 一路下滑，2022 年償二代二期落地當年降到 196%，2025 年末 181.1%，其中人身險公司 169.3%，較 2020 年高點回落近 80 個百分點；核心償付能力充足率由 2020 年約 230% 跌到 2025 年末約 130%。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行業綜合償付能力充足率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行業核心償付能力充足率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2020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246.3%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2022 年末（償二代二期首年）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196%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181.1%（人身險 169.3%）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130%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年二季度末（人身險）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169.7%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119.6%</w:t>
            </w:r>
          </w:p>
        </w:tc>
      </w:tr>
    </w:tbl>
    <w:p/>
    <w:p>
      <w:pPr>
        <w:pStyle w:val="ListBullet"/>
      </w:pPr>
      <w:r>
        <w:t>傳導機制（田利輝教授的說法）：壽險準備金折現率掛鉤 750 日移動平均國債收益率，利率一路下行，這條曲線就一路下降，保險公司被迫增提準備金，淨資產與核心資本被動消耗；再加上償二代二期把風險因子普遍上調，最低資本要求變高。分子變小、分母變大，充足率兩頭受壓。財政注資直接補分子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集團償付能力（使用者提供）：2025 年末核心約 146%、綜合約 222%，較 2023 年末降 10 與 48 個百分點。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進一步上升，中小股東持股比例被稀釋，但因定價不低於前 20 日均價、且滾存利潤新老股東共享，每股淨資產與每股收益的攤薄有限。粗估：若以 2026 年 4 月末約 7.2 元／股的價位計，150 億元約對應 20 億股左右，占發行前總股本（約 442 億股）不到 5%，財政部持股約升至 62% 上下（假設性推算，以最終定價為準）。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五、專家觀點彙整（華夏時報 9/7 訪談三位學者，加上京報網田利輝）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議題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江翰（盤古智庫）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李文中（首都經貿大學）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朱俊生（北京大學）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定性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金融穩定保障體系從「分業局部風險處置」轉向「險企與國有大行並列的系統性事前加固框架」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從「銀行獨大」走向「銀保並重」；覆蓋銀行、保險、政策性金融的國有金融資本保障框架初步成型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前瞻性安排，為未來 5～10 年儲備資本，不是解決短期困難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時點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在利率下行、償二代二期壓力逼近臨界值前「筑牢底盤」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三重壓力：償二代二期、長期利率走低、監管引導加大權益配置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低利率下利差損風險上升、資本消耗加快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金額分配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按「戰略權重、資本缺口、公共職能」三維度匹配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「功能定位決定注資規模」：國壽最大因長期業務資本消耗快；人保承擔巨災、農險；信保支持外貿；太平跨境；中再需求較小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體現國家對各機構未來功能定位的安排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注資方式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非上市走直接注資可快速做實核心一級資本；上市走定增維持治理透明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直接注資也需股權評估作價以保障國有資產安全，程序較簡單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形式不同、本質相同，差異反映股權結構與治理安排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撬動效應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億不會全部直接入市，但可撬動數倍長期資本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可解開權益配置的「資本枷鎖」，大概撬動萬億級資金入市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有望撬動數千億元長期資金配置能力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行業格局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不會「大魚吃小魚」，會推動行業分層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馬太效應加劇，對中小公司不利，但頭部穩健也替中小分擔系統風險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集中度進一步提升，中小公司轉型壓力更大</w:t>
            </w:r>
          </w:p>
        </w:tc>
      </w:tr>
    </w:tbl>
    <w:p/>
    <w:p>
      <w:pPr>
        <w:pStyle w:val="ListBullet"/>
      </w:pPr>
      <w:r>
        <w:t>華夏時報另提醒：相對保險業數十萬億的資產負債規模，700 億元絕對值不大，意義在信號與撬動效應。</w:t>
      </w:r>
    </w:p>
    <w:p>
      <w:pPr>
        <w:pStyle w:val="ListBullet"/>
      </w:pPr>
      <w:r>
        <w:t>「行業救火隊」角色：2023 年處置華夏人壽時，國壽壽險、太平人壽等 11 家頭部壽險公司與地方政府、保險保障基金共同出資 339 億元成立專項基金承接資產負債；恒大人壽等處置也有頭部險企深度參與。頭部央企必須備有遠超行業平均的資本，這是注資的另一層理由。</w:t>
      </w:r>
    </w:p>
    <w:p>
      <w:pPr>
        <w:pStyle w:val="Heading3"/>
      </w:pPr>
      <w:r>
        <w:t>六、國際先例對照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財新正文全文</w:t>
      </w:r>
      <w:r>
        <w:t>：已確認導語為原文、更新版為「5 家 700 億」、正文解釋「預期」為市場原以為 2027 年；但全文仍未逐字取得，「相關部門」具體所指、是否有官方受訪者，未知。</w:t>
      </w:r>
    </w:p>
    <w:p>
      <w:pPr>
        <w:pStyle w:val="ListNumber"/>
      </w:pPr>
      <w:r>
        <w:t>~~「4 家」名單~~：</w:t>
      </w:r>
      <w:r>
        <w:rPr>
          <w:b/>
        </w:rPr>
        <w:t>已解決</w:t>
      </w:r>
      <w:r>
        <w:t>。財新更新版證實為人壽、人保、太平、信保 + 中再，合計 700 億元。</w:t>
      </w:r>
    </w:p>
    <w:p>
      <w:pPr>
        <w:pStyle w:val="ListNumber"/>
      </w:pPr>
      <w:r>
        <w:rPr>
          <w:b/>
        </w:rPr>
        <w:t>「首次」定義</w:t>
      </w:r>
      <w:r>
        <w:t>：財新用語為「首次系統性納入」，與 2023 年太平 25 億元先例不矛盾；財新是否在正文提及該先例，未知。</w:t>
      </w:r>
    </w:p>
    <w:p>
      <w:pPr>
        <w:pStyle w:val="ListNumber"/>
      </w:pPr>
      <w:r>
        <w:t>~~3,000 億特別國債是否為同一筆~~：</w:t>
      </w:r>
      <w:r>
        <w:rPr>
          <w:b/>
        </w:rPr>
        <w:t>大致解決</w:t>
      </w:r>
      <w:r>
        <w:t>。華夏時報明言 700 億元是從 3,000 億額度中統籌調整、非額外新增；財新亦以「第二批注資銀行 2,300 億」對應。僅「將發行」措辭是否另有後續發行動作，待財政部原文。</w:t>
      </w:r>
    </w:p>
    <w:p>
      <w:pPr>
        <w:pStyle w:val="ListNumber"/>
      </w:pPr>
      <w:r>
        <w:rPr>
          <w:b/>
        </w:rPr>
        <w:t>人保定增最終條款</w:t>
      </w:r>
      <w:r>
        <w:t>：定價原則、鎖定期、審批鏈已由預案確認（見第二部三）；最終發行價、股數、發行後財政部持股比例仍待監管批復。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月報導中「太保」是否為「人保」之誤。另注意 2026 年 2 月同時發生平安人壽第二次舉牌國壽 H 股（持股達 10%；2025-08 首次 5%、2026-05-20 第三次 15%），這是與注資傳聞無關的獨立事件，勿混為一談。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主代理 9/7 補查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財新更新版標題與導語要點、財新〈第二批特別國債注資銀行落地〉、京報網／北京商報／南方財經／澎湃專家解讀、人保定增預案與華夏時報全文（使用者提供，摘錄存於 </w:t>
            </w:r>
            <w:r>
              <w:rPr>
                <w:rFonts w:ascii="Consolas" w:hAnsi="Consolas"/>
                <w:sz w:val="18"/>
              </w:rPr>
              <w:t>findings/SRC_huaxia_20260907.md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解決名單、「預期」、資金來源三大不確定點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財新網：财政部首次注资险企 5家获700亿元（更新）（2026-09-06 19:03，https://finance.caixin.com/2026-09-06/102482419.html）；第二批特别国债注资银行落地 农行、工行、进出口行合计2300亿元（2026-09-06，https://finance.caixin.com/2026-09-06/102482427.html）；大型险企将获特别国债千亿注资？影响几何？（2026-02-03）</w:t>
      </w:r>
    </w:p>
    <w:p>
      <w:pPr>
        <w:pStyle w:val="ListBullet"/>
      </w:pPr>
      <w:r>
        <w:t xml:space="preserve">華夏時報：首度跻身特别国债核心圈层，五家保险央企获财政部700亿元注资（吳敏，2026-09-07 11:28；使用者提供全文，摘錄存於 </w:t>
      </w:r>
      <w:r>
        <w:rPr>
          <w:rFonts w:ascii="Consolas" w:hAnsi="Consolas"/>
        </w:rPr>
        <w:t>findings/SRC_huaxia_20260907.md</w:t>
      </w:r>
      <w:r>
        <w:t>）</w:t>
      </w:r>
    </w:p>
    <w:p>
      <w:pPr>
        <w:pStyle w:val="ListBullet"/>
      </w:pPr>
      <w:r>
        <w:t>京報網／大眾新聞：五家保险央企同日获财政部注资，专家详解来了（2026-09-06）；北京商報：财政部向险企注资，五家险企获700亿元，资本消耗压力缓解；南方財經：“稳金融”扩围至险企；澎湃：财政部拟向5家保险公司增资700亿元；每經：财政部将发行3000亿元特别国债支持8家金融央企，释放什么信号？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