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Noto Sans CJK TC" w:cs="Noto Sans CJK TC" w:eastAsia="Noto Sans CJK TC" w:hAnsi="Noto Sans CJK TC"/>
          <w:b/>
          <w:bCs/>
          <w:color w:val="1F3864"/>
          <w:sz w:val="36"/>
          <w:szCs w:val="36"/>
        </w:rPr>
        <w:t xml:space="preserve">講稿（v2・人資交付版）</w:t>
      </w:r>
    </w:p>
    <w:p>
      <w:pPr>
        <w:spacing w:after="240"/>
        <w:jc w:val="center"/>
      </w:pPr>
      <w:r>
        <w:rPr>
          <w:rFonts w:ascii="Noto Sans CJK TC" w:cs="Noto Sans CJK TC" w:eastAsia="Noto Sans CJK TC" w:hAnsi="Noto Sans CJK TC"/>
          <w:b/>
          <w:bCs/>
          <w:color w:val="2E5395"/>
          <w:sz w:val="26"/>
          <w:szCs w:val="26"/>
        </w:rPr>
        <w:t xml:space="preserve">保德信人壽連續金錢詐取弊案——給人力資源部門的三個教訓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DF1F8" w:val="clear"/>
          </w:tcPr>
          <w:p>
            <w:pPr>
              <w:spacing w:after="60" w:before="60"/>
            </w:pPr>
            <w:r>
              <w:rPr>
                <w:rFonts w:ascii="Noto Sans CJK TC" w:cs="Noto Sans CJK TC" w:eastAsia="Noto Sans CJK TC" w:hAnsi="Noto Sans CJK TC"/>
                <w:b/>
                <w:bCs/>
              </w:rPr>
              <w:t xml:space="preserve">版本</w:t>
            </w:r>
          </w:p>
        </w:tc>
        <w:tc>
          <w:tcPr>
            <w:tcW w:type="dxa" w:w="6960"/>
          </w:tcPr>
          <w:p>
            <w:pPr>
              <w:spacing w:after="60" w:before="60"/>
            </w:pPr>
            <w:r>
              <w:rPr>
                <w:rFonts w:ascii="Noto Sans CJK TC" w:cs="Noto Sans CJK TC" w:eastAsia="Noto Sans CJK TC" w:hAnsi="Noto Sans CJK TC"/>
              </w:rPr>
              <w:t xml:space="preserve">v2（依《保德信人壽連續金錢詐取弊案 綜合調查報告》修正改寫）</w:t>
            </w:r>
          </w:p>
        </w:tc>
      </w:tr>
      <w:tr>
        <w:tc>
          <w:tcPr>
            <w:tcW w:type="dxa" w:w="2400"/>
            <w:shd w:fill="EDF1F8" w:val="clear"/>
          </w:tcPr>
          <w:p>
            <w:pPr>
              <w:spacing w:after="60" w:before="60"/>
            </w:pPr>
            <w:r>
              <w:rPr>
                <w:rFonts w:ascii="Noto Sans CJK TC" w:cs="Noto Sans CJK TC" w:eastAsia="Noto Sans CJK TC" w:hAnsi="Noto Sans CJK TC"/>
                <w:b/>
                <w:bCs/>
              </w:rPr>
              <w:t xml:space="preserve">預計講述時間</w:t>
            </w:r>
          </w:p>
        </w:tc>
        <w:tc>
          <w:tcPr>
            <w:tcW w:type="dxa" w:w="6960"/>
          </w:tcPr>
          <w:p>
            <w:pPr>
              <w:spacing w:after="60" w:before="60"/>
            </w:pPr>
            <w:r>
              <w:rPr>
                <w:rFonts w:ascii="Noto Sans CJK TC" w:cs="Noto Sans CJK TC" w:eastAsia="Noto Sans CJK TC" w:hAnsi="Noto Sans CJK TC"/>
              </w:rPr>
              <w:t xml:space="preserve">約 12–15 分鐘</w:t>
            </w:r>
          </w:p>
        </w:tc>
      </w:tr>
      <w:tr>
        <w:tc>
          <w:tcPr>
            <w:tcW w:type="dxa" w:w="2400"/>
            <w:shd w:fill="EDF1F8" w:val="clear"/>
          </w:tcPr>
          <w:p>
            <w:pPr>
              <w:spacing w:after="60" w:before="60"/>
            </w:pPr>
            <w:r>
              <w:rPr>
                <w:rFonts w:ascii="Noto Sans CJK TC" w:cs="Noto Sans CJK TC" w:eastAsia="Noto Sans CJK TC" w:hAnsi="Noto Sans CJK TC"/>
                <w:b/>
                <w:bCs/>
              </w:rPr>
              <w:t xml:space="preserve">對象</w:t>
            </w:r>
          </w:p>
        </w:tc>
        <w:tc>
          <w:tcPr>
            <w:tcW w:type="dxa" w:w="6960"/>
          </w:tcPr>
          <w:p>
            <w:pPr>
              <w:spacing w:after="60" w:before="60"/>
            </w:pPr>
            <w:r>
              <w:rPr>
                <w:rFonts w:ascii="Noto Sans CJK TC" w:cs="Noto Sans CJK TC" w:eastAsia="Noto Sans CJK TC" w:hAnsi="Noto Sans CJK TC"/>
              </w:rPr>
              <w:t xml:space="preserve">人力資源部門</w:t>
            </w:r>
          </w:p>
        </w:tc>
      </w:tr>
      <w:tr>
        <w:tc>
          <w:tcPr>
            <w:tcW w:type="dxa" w:w="2400"/>
            <w:shd w:fill="EDF1F8" w:val="clear"/>
          </w:tcPr>
          <w:p>
            <w:pPr>
              <w:spacing w:after="60" w:before="60"/>
            </w:pPr>
            <w:r>
              <w:rPr>
                <w:rFonts w:ascii="Noto Sans CJK TC" w:cs="Noto Sans CJK TC" w:eastAsia="Noto Sans CJK TC" w:hAnsi="Noto Sans CJK TC"/>
                <w:b/>
                <w:bCs/>
              </w:rPr>
              <w:t xml:space="preserve">日期</w:t>
            </w:r>
          </w:p>
        </w:tc>
        <w:tc>
          <w:tcPr>
            <w:tcW w:type="dxa" w:w="6960"/>
          </w:tcPr>
          <w:p>
            <w:pPr>
              <w:spacing w:after="60" w:before="60"/>
            </w:pPr>
            <w:r>
              <w:rPr>
                <w:rFonts w:ascii="Noto Sans CJK TC" w:cs="Noto Sans CJK TC" w:eastAsia="Noto Sans CJK TC" w:hAnsi="Noto Sans CJK TC"/>
              </w:rPr>
              <w:t xml:space="preserve">2026 年 8 月 26 日</w:t>
            </w:r>
          </w:p>
        </w:tc>
      </w:tr>
    </w:tbl>
    <w:p>
      <w:pPr>
        <w:spacing w:after="120"/>
      </w:pPr>
    </w:p>
    <w:p>
      <w:pPr>
        <w:pStyle w:val="Heading1"/>
        <w:spacing w:after="200" w:before="320"/>
      </w:pPr>
      <w:r>
        <w:rPr>
          <w:rFonts w:ascii="Noto Sans CJK TC" w:cs="Noto Sans CJK TC" w:eastAsia="Noto Sans CJK TC" w:hAnsi="Noto Sans CJK TC"/>
          <w:b/>
          <w:bCs/>
          <w:color w:val="1F3864"/>
          <w:sz w:val="28"/>
          <w:szCs w:val="28"/>
        </w:rPr>
        <w:t xml:space="preserve">一、開場：為什麼這個案子是「人資的案子」（約 1.5 分鐘）</w:t>
      </w:r>
    </w:p>
    <w:p>
      <w:pPr>
        <w:spacing w:after="160" w:line="320"/>
      </w:pPr>
      <w:r>
        <w:rPr>
          <w:rFonts w:ascii="Noto Sans CJK TC" w:cs="Noto Sans CJK TC" w:eastAsia="Noto Sans CJK TC" w:hAnsi="Noto Sans CJK TC"/>
        </w:rPr>
        <w:t xml:space="preserve">各位好。今天想跟大家分享的，是日本保德信人壽（プルデンシャル生命）的連續金錢詐取弊案。</w:t>
      </w:r>
    </w:p>
    <w:p>
      <w:pPr>
        <w:spacing w:after="160" w:line="320"/>
      </w:pPr>
      <w:r>
        <w:rPr>
          <w:rFonts w:ascii="Noto Sans CJK TC" w:cs="Noto Sans CJK TC" w:eastAsia="Noto Sans CJK TC" w:hAnsi="Noto Sans CJK TC"/>
        </w:rPr>
        <w:t xml:space="preserve">先講結論：這個案子表面上是法遵和內控的失敗，但往下挖三層，你會發現每一層的根源都落在人力資源的管轄範圍——</w:t>
      </w:r>
      <w:r>
        <w:rPr>
          <w:rFonts w:ascii="Noto Sans CJK TC" w:cs="Noto Sans CJK TC" w:eastAsia="Noto Sans CJK TC" w:hAnsi="Noto Sans CJK TC"/>
          <w:b/>
          <w:bCs/>
        </w:rPr>
        <w:t xml:space="preserve">報酬制度怎麼設計、管理職怎麼任用、績優員工怎麼管理、通報文化怎麼建立</w:t>
      </w:r>
      <w:r>
        <w:rPr>
          <w:rFonts w:ascii="Noto Sans CJK TC" w:cs="Noto Sans CJK TC" w:eastAsia="Noto Sans CJK TC" w:hAnsi="Noto Sans CJK TC"/>
        </w:rPr>
        <w:t xml:space="preserve">。這就是為什麼我說，這是一個「人資的案子」。</w:t>
      </w:r>
    </w:p>
    <w:p>
      <w:pPr>
        <w:spacing w:after="160" w:line="320"/>
      </w:pPr>
      <w:r>
        <w:rPr>
          <w:rFonts w:ascii="Noto Sans CJK TC" w:cs="Noto Sans CJK TC" w:eastAsia="Noto Sans CJK TC" w:hAnsi="Noto Sans CJK TC"/>
        </w:rPr>
        <w:t xml:space="preserve">35 年、超過兩百名涉案員工、集團累計約 39 億日圓的顧客受害金額——而且到今天還在擴大。這不是一顆老鼠屎，這是制度本身在批量生產老鼠屎。</w:t>
      </w:r>
    </w:p>
    <w:p>
      <w:pPr>
        <w:pStyle w:val="Heading1"/>
        <w:spacing w:after="200" w:before="320"/>
      </w:pPr>
      <w:r>
        <w:rPr>
          <w:rFonts w:ascii="Noto Sans CJK TC" w:cs="Noto Sans CJK TC" w:eastAsia="Noto Sans CJK TC" w:hAnsi="Noto Sans CJK TC"/>
          <w:b/>
          <w:bCs/>
          <w:color w:val="1F3864"/>
          <w:sz w:val="28"/>
          <w:szCs w:val="28"/>
        </w:rPr>
        <w:t xml:space="preserve">二、案情速覽：三分鐘看懂發生了什麼（約 3 分鐘）</w:t>
      </w:r>
    </w:p>
    <w:p>
      <w:pPr>
        <w:spacing w:after="160" w:line="320"/>
      </w:pPr>
      <w:r>
        <w:rPr>
          <w:rFonts w:ascii="Noto Sans CJK TC" w:cs="Noto Sans CJK TC" w:eastAsia="Noto Sans CJK TC" w:hAnsi="Noto Sans CJK TC"/>
        </w:rPr>
        <w:t xml:space="preserve">快速把事實講清楚。</w:t>
      </w:r>
    </w:p>
    <w:p>
      <w:pPr>
        <w:spacing w:after="160" w:line="320"/>
      </w:pPr>
      <w:r>
        <w:rPr>
          <w:rFonts w:ascii="Noto Sans CJK TC" w:cs="Noto Sans CJK TC" w:eastAsia="Noto Sans CJK TC" w:hAnsi="Noto Sans CJK TC"/>
          <w:b/>
          <w:bCs/>
        </w:rPr>
        <w:t xml:space="preserve">前案</w:t>
      </w:r>
      <w:r>
        <w:rPr>
          <w:rFonts w:ascii="Noto Sans CJK TC" w:cs="Noto Sans CJK TC" w:eastAsia="Noto Sans CJK TC" w:hAnsi="Noto Sans CJK TC"/>
        </w:rPr>
        <w:t xml:space="preserve">：2024 年 6 月，一名前營業社員以投資名目詐取 34 名顧客約 7.5 億日圓遭逮捕，引爆全面內部調查。2026 年 1 月，公司公表調查結果：社員與前社員合計 106 人，向約 500 名顧客不當取得約 31 億日圓，最早可追溯到 1991 年——也就是說，這件事持續了 35 年沒有被任何內控機制發現。7 月再追加 125 人、7.9 億日圓，集團累計約 39 億日圓。社長引責辭任，金融廳對子公司與控股母公司雙重立入檢查，美國母公司承受約 10 億美元等級的獲利衝擊。</w:t>
      </w:r>
    </w:p>
    <w:p>
      <w:pPr>
        <w:spacing w:after="160" w:line="320"/>
      </w:pPr>
      <w:r>
        <w:rPr>
          <w:rFonts w:ascii="Noto Sans CJK TC" w:cs="Noto Sans CJK TC" w:eastAsia="Noto Sans CJK TC" w:hAnsi="Noto Sans CJK TC"/>
        </w:rPr>
        <w:t xml:space="preserve">公司的應對不可謂不重：2026 年 2 月 9 日起</w:t>
      </w:r>
      <w:r>
        <w:rPr>
          <w:rFonts w:ascii="Noto Sans CJK TC" w:cs="Noto Sans CJK TC" w:eastAsia="Noto Sans CJK TC" w:hAnsi="Noto Sans CJK TC"/>
          <w:b/>
          <w:bCs/>
        </w:rPr>
        <w:t xml:space="preserve">全面自肅新契約販售</w:t>
      </w:r>
      <w:r>
        <w:rPr>
          <w:rFonts w:ascii="Noto Sans CJK TC" w:cs="Noto Sans CJK TC" w:eastAsia="Noto Sans CJK TC" w:hAnsi="Noto Sans CJK TC"/>
        </w:rPr>
        <w:t xml:space="preserve">、全社法遵研修、金融廳檢查官進駐——可以說進入了「最高警戒狀態」。</w:t>
      </w:r>
    </w:p>
    <w:p>
      <w:pPr>
        <w:spacing w:after="160" w:line="320"/>
      </w:pPr>
      <w:r>
        <w:rPr>
          <w:rFonts w:ascii="Noto Sans CJK TC" w:cs="Noto Sans CJK TC" w:eastAsia="Noto Sans CJK TC" w:hAnsi="Noto Sans CJK TC"/>
          <w:b/>
          <w:bCs/>
        </w:rPr>
        <w:t xml:space="preserve">然後是今年 8 月 24 日的新案</w:t>
      </w:r>
      <w:r>
        <w:rPr>
          <w:rFonts w:ascii="Noto Sans CJK TC" w:cs="Noto Sans CJK TC" w:eastAsia="Noto Sans CJK TC" w:hAnsi="Noto Sans CJK TC"/>
        </w:rPr>
        <w:t xml:space="preserve">。公司公布：多摩支社（川崎市）一名 40 多歲男性營業社員，以「虛構高利率存款」話術向多名顧客不當收取金錢。這個案子有三個細節，請大家記住，因為等一下的三個教訓全部從這裡來：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Noto Sans CJK TC" w:cs="Noto Sans CJK TC" w:eastAsia="Noto Sans CJK TC" w:hAnsi="Noto Sans CJK TC"/>
          <w:b/>
          <w:bCs/>
        </w:rPr>
        <w:t xml:space="preserve">時間點</w:t>
      </w:r>
      <w:r>
        <w:rPr>
          <w:rFonts w:ascii="Noto Sans CJK TC" w:cs="Noto Sans CJK TC" w:eastAsia="Noto Sans CJK TC" w:hAnsi="Noto Sans CJK TC"/>
        </w:rPr>
        <w:t xml:space="preserve">：詐取行為疑似發生在 2 月自肅之後——公司都停業整頓了，第一線還在騙。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Noto Sans CJK TC" w:cs="Noto Sans CJK TC" w:eastAsia="Noto Sans CJK TC" w:hAnsi="Noto Sans CJK TC"/>
          <w:b/>
          <w:bCs/>
        </w:rPr>
        <w:t xml:space="preserve">身分</w:t>
      </w:r>
      <w:r>
        <w:rPr>
          <w:rFonts w:ascii="Noto Sans CJK TC" w:cs="Noto Sans CJK TC" w:eastAsia="Noto Sans CJK TC" w:hAnsi="Noto Sans CJK TC"/>
        </w:rPr>
        <w:t xml:space="preserve">：涉案者直到今年 3 月前後都還是營業所長——他不是被管理者，他就是管理者本人。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Noto Sans CJK TC" w:cs="Noto Sans CJK TC" w:eastAsia="Noto Sans CJK TC" w:hAnsi="Noto Sans CJK TC"/>
          <w:b/>
          <w:bCs/>
        </w:rPr>
        <w:t xml:space="preserve">發現方式</w:t>
      </w:r>
      <w:r>
        <w:rPr>
          <w:rFonts w:ascii="Noto Sans CJK TC" w:cs="Noto Sans CJK TC" w:eastAsia="Noto Sans CJK TC" w:hAnsi="Noto Sans CJK TC"/>
        </w:rPr>
        <w:t xml:space="preserve">：本人已死亡，案件是靠前案設立的顧客補償委員會接到申訴才曝光——公司自己的內控，偵測能力是零。</w:t>
      </w:r>
    </w:p>
    <w:p>
      <w:pPr>
        <w:pStyle w:val="Heading1"/>
        <w:spacing w:after="200" w:before="320"/>
      </w:pPr>
      <w:r>
        <w:rPr>
          <w:rFonts w:ascii="Noto Sans CJK TC" w:cs="Noto Sans CJK TC" w:eastAsia="Noto Sans CJK TC" w:hAnsi="Noto Sans CJK TC"/>
          <w:b/>
          <w:bCs/>
          <w:color w:val="1F3864"/>
          <w:sz w:val="28"/>
          <w:szCs w:val="28"/>
        </w:rPr>
        <w:t xml:space="preserve">三、三個給人資的教訓（約 6 分鐘）</w:t>
      </w:r>
    </w:p>
    <w:p>
      <w:pPr>
        <w:pStyle w:val="Heading2"/>
        <w:spacing w:after="160" w:before="240"/>
      </w:pPr>
      <w:r>
        <w:rPr>
          <w:rFonts w:ascii="Noto Sans CJK TC" w:cs="Noto Sans CJK TC" w:eastAsia="Noto Sans CJK TC" w:hAnsi="Noto Sans CJK TC"/>
          <w:b/>
          <w:bCs/>
          <w:color w:val="2E5395"/>
          <w:sz w:val="24"/>
          <w:szCs w:val="24"/>
        </w:rPr>
        <w:t xml:space="preserve">教訓一：報酬制度會塑造行為——極端的誘因，製造極端的行為（約 2.5 分鐘）</w:t>
      </w:r>
    </w:p>
    <w:p>
      <w:pPr>
        <w:spacing w:after="160" w:line="320"/>
      </w:pPr>
      <w:r>
        <w:rPr>
          <w:rFonts w:ascii="Noto Sans CJK TC" w:cs="Noto Sans CJK TC" w:eastAsia="Noto Sans CJK TC" w:hAnsi="Noto Sans CJK TC"/>
        </w:rPr>
        <w:t xml:space="preserve">保德信的 Life Planner 制度是它的成功神話：從異業挖角菁英，入社第三年起轉為</w:t>
      </w:r>
      <w:r>
        <w:rPr>
          <w:rFonts w:ascii="Noto Sans CJK TC" w:cs="Noto Sans CJK TC" w:eastAsia="Noto Sans CJK TC" w:hAnsi="Noto Sans CJK TC"/>
          <w:b/>
          <w:bCs/>
        </w:rPr>
        <w:t xml:space="preserve">完全佣金制</w:t>
      </w:r>
      <w:r>
        <w:rPr>
          <w:rFonts w:ascii="Noto Sans CJK TC" w:cs="Noto Sans CJK TC" w:eastAsia="Noto Sans CJK TC" w:hAnsi="Noto Sans CJK TC"/>
        </w:rPr>
        <w:t xml:space="preserve">，收入上不封頂。有前員工證言，年收從 5 億日圓以上到最低工資水準並存。</w:t>
      </w:r>
    </w:p>
    <w:p>
      <w:pPr>
        <w:spacing w:after="160" w:line="320"/>
      </w:pPr>
      <w:r>
        <w:rPr>
          <w:rFonts w:ascii="Noto Sans CJK TC" w:cs="Noto Sans CJK TC" w:eastAsia="Noto Sans CJK TC" w:hAnsi="Noto Sans CJK TC"/>
        </w:rPr>
        <w:t xml:space="preserve">用舞弊三角形的語言說，這套制度把「動機」推到了極端值：業績滑落就是收入崩塌，頂級榮耀又有成癮性。日本經濟新聞的診斷很直接——佣金制營業員被賦予的廣泛裁量被惡用，而查核機能沒有運作。</w:t>
      </w:r>
    </w:p>
    <w:p>
      <w:pPr>
        <w:spacing w:after="160" w:line="320"/>
      </w:pPr>
      <w:r>
        <w:rPr>
          <w:rFonts w:ascii="Noto Sans CJK TC" w:cs="Noto Sans CJK TC" w:eastAsia="Noto Sans CJK TC" w:hAnsi="Noto Sans CJK TC"/>
          <w:b/>
          <w:bCs/>
        </w:rPr>
        <w:t xml:space="preserve">對我們的意義</w:t>
      </w:r>
      <w:r>
        <w:rPr>
          <w:rFonts w:ascii="Noto Sans CJK TC" w:cs="Noto Sans CJK TC" w:eastAsia="Noto Sans CJK TC" w:hAnsi="Noto Sans CJK TC"/>
        </w:rPr>
        <w:t xml:space="preserve">：薪酬設計不只是「激勵工具」，它同時是「風險參數」。當一套報酬制度讓員工的生存完全繫於短期業績，就等於在制度裡預埋了不當行為的引信。保德信事後的改革方向值得參考：設置每月 35 萬日圓最低報酬保證、調降新契約初年度佣金、提高長期繼續佣金——把評價軸從「眼前的件數」轉向「顧客的長期利益」。我們在設計任何高變動薪酬制度時，都應該同步回答一個問題：</w:t>
      </w:r>
      <w:r>
        <w:rPr>
          <w:rFonts w:ascii="Noto Sans CJK TC" w:cs="Noto Sans CJK TC" w:eastAsia="Noto Sans CJK TC" w:hAnsi="Noto Sans CJK TC"/>
          <w:b/>
          <w:bCs/>
        </w:rPr>
        <w:t xml:space="preserve">這套制度最壞會誘發什麼行為？誰負責偵測？</w:t>
      </w:r>
    </w:p>
    <w:p>
      <w:pPr>
        <w:pStyle w:val="Heading2"/>
        <w:spacing w:after="160" w:before="240"/>
      </w:pPr>
      <w:r>
        <w:rPr>
          <w:rFonts w:ascii="Noto Sans CJK TC" w:cs="Noto Sans CJK TC" w:eastAsia="Noto Sans CJK TC" w:hAnsi="Noto Sans CJK TC"/>
          <w:b/>
          <w:bCs/>
          <w:color w:val="2E5395"/>
          <w:sz w:val="24"/>
          <w:szCs w:val="24"/>
        </w:rPr>
        <w:t xml:space="preserve">教訓二：管理職任用不能只看業績——第一道防線的人，需要適格性審查（約 2 分鐘）</w:t>
      </w:r>
    </w:p>
    <w:p>
      <w:pPr>
        <w:spacing w:after="160" w:line="320"/>
      </w:pPr>
      <w:r>
        <w:rPr>
          <w:rFonts w:ascii="Noto Sans CJK TC" w:cs="Noto Sans CJK TC" w:eastAsia="Noto Sans CJK TC" w:hAnsi="Noto Sans CJK TC"/>
        </w:rPr>
        <w:t xml:space="preserve">8 月 24 日新案最刺眼的細節：涉案者是營業所長。第一道防線的「管理者」，自己就是（疑似）行為人。</w:t>
      </w:r>
    </w:p>
    <w:p>
      <w:pPr>
        <w:spacing w:after="160" w:line="320"/>
      </w:pPr>
      <w:r>
        <w:rPr>
          <w:rFonts w:ascii="Noto Sans CJK TC" w:cs="Noto Sans CJK TC" w:eastAsia="Noto Sans CJK TC" w:hAnsi="Noto Sans CJK TC"/>
        </w:rPr>
        <w:t xml:space="preserve">為什麼會這樣？因為在業績至上的任用邏輯裡，支社長、營業所長多半是從績優業務員裡拔擢的，而他們上任之後的考核，依然繫於營業數字。結果是：管理職沒有動機牽制部下，更沒有人牽制管理職自己。</w:t>
      </w:r>
    </w:p>
    <w:p>
      <w:pPr>
        <w:spacing w:after="160" w:line="320"/>
      </w:pPr>
      <w:r>
        <w:rPr>
          <w:rFonts w:ascii="Noto Sans CJK TC" w:cs="Noto Sans CJK TC" w:eastAsia="Noto Sans CJK TC" w:hAnsi="Noto Sans CJK TC"/>
          <w:b/>
          <w:bCs/>
        </w:rPr>
        <w:t xml:space="preserve">對我們的意義</w:t>
      </w:r>
      <w:r>
        <w:rPr>
          <w:rFonts w:ascii="Noto Sans CJK TC" w:cs="Noto Sans CJK TC" w:eastAsia="Noto Sans CJK TC" w:hAnsi="Noto Sans CJK TC"/>
        </w:rPr>
        <w:t xml:space="preserve">：管理職的任用與考核，必須和純業績</w:t>
      </w:r>
      <w:r>
        <w:rPr>
          <w:rFonts w:ascii="Noto Sans CJK TC" w:cs="Noto Sans CJK TC" w:eastAsia="Noto Sans CJK TC" w:hAnsi="Noto Sans CJK TC"/>
          <w:b/>
          <w:bCs/>
        </w:rPr>
        <w:t xml:space="preserve">部分脫鉤</w:t>
      </w:r>
      <w:r>
        <w:rPr>
          <w:rFonts w:ascii="Noto Sans CJK TC" w:cs="Noto Sans CJK TC" w:eastAsia="Noto Sans CJK TC" w:hAnsi="Noto Sans CJK TC"/>
        </w:rPr>
        <w:t xml:space="preserve">。拔擢一個人當主管之前，除了業績，還要有品格與法遵紀錄的適格性審查；上任之後，考核要納入管理責任與法遵責任的權重。「會賣」和「能管人」是兩種能力，把前者直接當成後者的資格，就是這個案子付出 39 億日圓學到的教訓。</w:t>
      </w:r>
    </w:p>
    <w:p>
      <w:pPr>
        <w:pStyle w:val="Heading2"/>
        <w:spacing w:after="160" w:before="240"/>
      </w:pPr>
      <w:r>
        <w:rPr>
          <w:rFonts w:ascii="Noto Sans CJK TC" w:cs="Noto Sans CJK TC" w:eastAsia="Noto Sans CJK TC" w:hAnsi="Noto Sans CJK TC"/>
          <w:b/>
          <w:bCs/>
          <w:color w:val="2E5395"/>
          <w:sz w:val="24"/>
          <w:szCs w:val="24"/>
        </w:rPr>
        <w:t xml:space="preserve">教訓三：績優者不能是聖域——監督強度要跟裁量成正比，通報管道要真的有人敢用（約 1.5 分鐘）</w:t>
      </w:r>
    </w:p>
    <w:p>
      <w:pPr>
        <w:spacing w:after="160" w:line="320"/>
      </w:pPr>
      <w:r>
        <w:rPr>
          <w:rFonts w:ascii="Noto Sans CJK TC" w:cs="Noto Sans CJK TC" w:eastAsia="Noto Sans CJK TC" w:hAnsi="Noto Sans CJK TC"/>
        </w:rPr>
        <w:t xml:space="preserve">保德信的文化把「Life Planner 本身就是最好的商品」奉為理念——質疑頂尖業務員，等於褻瀆公司信仰。這和第一生命的「女帝」案完全同構：一位在職 50 年的績優外務員，因為權勢化到「沒有人日常管理監督她」，詐取了約 19.5 億日圓。</w:t>
      </w:r>
    </w:p>
    <w:p>
      <w:pPr>
        <w:spacing w:after="160" w:line="320"/>
      </w:pPr>
      <w:r>
        <w:rPr>
          <w:rFonts w:ascii="Noto Sans CJK TC" w:cs="Noto Sans CJK TC" w:eastAsia="Noto Sans CJK TC" w:hAnsi="Noto Sans CJK TC"/>
        </w:rPr>
        <w:t xml:space="preserve">再看發現機制：35 年、百人規模的不正，最後靠的是顧客偶發申訴，而不是任何一位同事、主管的內部通報。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/>
          <w:bCs/>
        </w:rPr>
        <w:t xml:space="preserve">對我們的意義有兩條：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Noto Sans CJK TC" w:cs="Noto Sans CJK TC" w:eastAsia="Noto Sans CJK TC" w:hAnsi="Noto Sans CJK TC"/>
          <w:b/>
          <w:bCs/>
        </w:rPr>
        <w:t xml:space="preserve">業績越好、裁量越大，監督應該越密，而不是越鬆</w:t>
      </w:r>
      <w:r>
        <w:rPr>
          <w:rFonts w:ascii="Noto Sans CJK TC" w:cs="Noto Sans CJK TC" w:eastAsia="Noto Sans CJK TC" w:hAnsi="Noto Sans CJK TC"/>
        </w:rPr>
        <w:t xml:space="preserve">。對明星員工的「健全懷疑」要制度化——加密抽查、輪調擔當、由非本人的第三者定期直接向其客戶確認。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Noto Sans CJK TC" w:cs="Noto Sans CJK TC" w:eastAsia="Noto Sans CJK TC" w:hAnsi="Noto Sans CJK TC"/>
          <w:b/>
          <w:bCs/>
        </w:rPr>
        <w:t xml:space="preserve">通報機制要能對抗權勢</w:t>
      </w:r>
      <w:r>
        <w:rPr>
          <w:rFonts w:ascii="Noto Sans CJK TC" w:cs="Noto Sans CJK TC" w:eastAsia="Noto Sans CJK TC" w:hAnsi="Noto Sans CJK TC"/>
        </w:rPr>
        <w:t xml:space="preserve">。當被通報的對象是全公司崇拜的明星或直屬主管時，通報者保護是不是真的到位？如果答案含糊，那我們的通報制度就只是裝飾品。</w:t>
      </w:r>
    </w:p>
    <w:p>
      <w:pPr>
        <w:pStyle w:val="Heading1"/>
        <w:spacing w:after="200" w:before="320"/>
      </w:pPr>
      <w:r>
        <w:rPr>
          <w:rFonts w:ascii="Noto Sans CJK TC" w:cs="Noto Sans CJK TC" w:eastAsia="Noto Sans CJK TC" w:hAnsi="Noto Sans CJK TC"/>
          <w:b/>
          <w:bCs/>
          <w:color w:val="1F3864"/>
          <w:sz w:val="28"/>
          <w:szCs w:val="28"/>
        </w:rPr>
        <w:t xml:space="preserve">四、給人資的行動建議（約 2 分鐘）</w:t>
      </w:r>
    </w:p>
    <w:p>
      <w:pPr>
        <w:spacing w:after="160" w:line="320"/>
      </w:pPr>
      <w:r>
        <w:rPr>
          <w:rFonts w:ascii="Noto Sans CJK TC" w:cs="Noto Sans CJK TC" w:eastAsia="Noto Sans CJK TC" w:hAnsi="Noto Sans CJK TC"/>
        </w:rPr>
        <w:t xml:space="preserve">從這個案子出發，建議人資從四個方向盤點我們自己的制度：</w:t>
      </w:r>
    </w:p>
    <w:p>
      <w:pPr>
        <w:pStyle w:val="ListParagraph"/>
        <w:numPr>
          <w:ilvl w:val="0"/>
          <w:numId w:val="4"/>
        </w:numPr>
        <w:spacing w:after="120" w:line="320"/>
      </w:pPr>
      <w:r>
        <w:rPr>
          <w:rFonts w:ascii="Noto Sans CJK TC" w:cs="Noto Sans CJK TC" w:eastAsia="Noto Sans CJK TC" w:hAnsi="Noto Sans CJK TC"/>
          <w:b/>
          <w:bCs/>
        </w:rPr>
        <w:t xml:space="preserve">薪酬風險體檢</w:t>
      </w:r>
      <w:r>
        <w:rPr>
          <w:rFonts w:ascii="Noto Sans CJK TC" w:cs="Noto Sans CJK TC" w:eastAsia="Noto Sans CJK TC" w:hAnsi="Noto Sans CJK TC"/>
        </w:rPr>
        <w:t xml:space="preserve">：對高變動薪酬職位做一次「行為風險」盤點——短期業績權重是否過高？有沒有遞延、追回（clawback）機制？品質與客訴指標有沒有實質進入評價？</w:t>
      </w:r>
    </w:p>
    <w:p>
      <w:pPr>
        <w:pStyle w:val="ListParagraph"/>
        <w:numPr>
          <w:ilvl w:val="0"/>
          <w:numId w:val="4"/>
        </w:numPr>
        <w:spacing w:after="120" w:line="320"/>
      </w:pPr>
      <w:r>
        <w:rPr>
          <w:rFonts w:ascii="Noto Sans CJK TC" w:cs="Noto Sans CJK TC" w:eastAsia="Noto Sans CJK TC" w:hAnsi="Noto Sans CJK TC"/>
          <w:b/>
          <w:bCs/>
        </w:rPr>
        <w:t xml:space="preserve">管理職任用與考核改革</w:t>
      </w:r>
      <w:r>
        <w:rPr>
          <w:rFonts w:ascii="Noto Sans CJK TC" w:cs="Noto Sans CJK TC" w:eastAsia="Noto Sans CJK TC" w:hAnsi="Noto Sans CJK TC"/>
        </w:rPr>
        <w:t xml:space="preserve">：管理職考核與業績部分脫鉤，納入管理與法遵權重；拔擢前增設適格性審查。</w:t>
      </w:r>
    </w:p>
    <w:p>
      <w:pPr>
        <w:pStyle w:val="ListParagraph"/>
        <w:numPr>
          <w:ilvl w:val="0"/>
          <w:numId w:val="4"/>
        </w:numPr>
        <w:spacing w:after="120" w:line="320"/>
      </w:pPr>
      <w:r>
        <w:rPr>
          <w:rFonts w:ascii="Noto Sans CJK TC" w:cs="Noto Sans CJK TC" w:eastAsia="Noto Sans CJK TC" w:hAnsi="Noto Sans CJK TC"/>
          <w:b/>
          <w:bCs/>
        </w:rPr>
        <w:t xml:space="preserve">績優者監督制度化</w:t>
      </w:r>
      <w:r>
        <w:rPr>
          <w:rFonts w:ascii="Noto Sans CJK TC" w:cs="Noto Sans CJK TC" w:eastAsia="Noto Sans CJK TC" w:hAnsi="Noto Sans CJK TC"/>
        </w:rPr>
        <w:t xml:space="preserve">：業績突出、長年單一客戶擔當、高裁量的員工，列入加強監督名單，而非豁免名單。</w:t>
      </w:r>
    </w:p>
    <w:p>
      <w:pPr>
        <w:pStyle w:val="ListParagraph"/>
        <w:numPr>
          <w:ilvl w:val="0"/>
          <w:numId w:val="4"/>
        </w:numPr>
        <w:spacing w:after="120" w:line="320"/>
      </w:pPr>
      <w:r>
        <w:rPr>
          <w:rFonts w:ascii="Noto Sans CJK TC" w:cs="Noto Sans CJK TC" w:eastAsia="Noto Sans CJK TC" w:hAnsi="Noto Sans CJK TC"/>
          <w:b/>
          <w:bCs/>
        </w:rPr>
        <w:t xml:space="preserve">通報與離職管理</w:t>
      </w:r>
      <w:r>
        <w:rPr>
          <w:rFonts w:ascii="Noto Sans CJK TC" w:cs="Noto Sans CJK TC" w:eastAsia="Noto Sans CJK TC" w:hAnsi="Noto Sans CJK TC"/>
        </w:rPr>
        <w:t xml:space="preserve">：檢視通報者保護的實效性（尤其被通報者是主管或明星員工的情境）；離職員工的客戶交接與通知程序要完整——保德信的案例裡，多起詐取是在當事人離職甚至死亡之後才曝光的。</w:t>
      </w:r>
    </w:p>
    <w:p>
      <w:pPr>
        <w:pStyle w:val="Heading1"/>
        <w:spacing w:after="200" w:before="320"/>
      </w:pPr>
      <w:r>
        <w:rPr>
          <w:rFonts w:ascii="Noto Sans CJK TC" w:cs="Noto Sans CJK TC" w:eastAsia="Noto Sans CJK TC" w:hAnsi="Noto Sans CJK TC"/>
          <w:b/>
          <w:bCs/>
          <w:color w:val="1F3864"/>
          <w:sz w:val="28"/>
          <w:szCs w:val="28"/>
        </w:rPr>
        <w:t xml:space="preserve">五、結語（約 1 分鐘）</w:t>
      </w:r>
    </w:p>
    <w:p>
      <w:pPr>
        <w:spacing w:after="160" w:line="320"/>
      </w:pPr>
      <w:r>
        <w:rPr>
          <w:rFonts w:ascii="Noto Sans CJK TC" w:cs="Noto Sans CJK TC" w:eastAsia="Noto Sans CJK TC" w:hAnsi="Noto Sans CJK TC"/>
        </w:rPr>
        <w:t xml:space="preserve">最後，用調查報告裡的一句話作結：</w:t>
      </w:r>
    </w:p>
    <w:p>
      <w:pPr>
        <w:pBdr>
          <w:left w:val="single" w:color="2E5395" w:sz="18" w:space="8"/>
        </w:pBdr>
        <w:spacing w:after="160" w:before="160" w:line="320"/>
        <w:ind w:left="480" w:right="480"/>
      </w:pPr>
      <w:r>
        <w:rPr>
          <w:rFonts w:ascii="Noto Sans CJK TC" w:cs="Noto Sans CJK TC" w:eastAsia="Noto Sans CJK TC" w:hAnsi="Noto Sans CJK TC"/>
          <w:b/>
          <w:bCs/>
          <w:i/>
          <w:iCs/>
        </w:rPr>
        <w:t xml:space="preserve">公司售賣的是「對營業員個人的信任」，但公司的內控只覆蓋「契約與金流經過公司的部分」——於是信任被個人變現於公司視野之外，而最有能力變現的，正是公司制度刻意培養出的最強營業員。</w:t>
      </w:r>
    </w:p>
    <w:p>
      <w:pPr>
        <w:spacing w:after="160" w:line="320"/>
      </w:pPr>
      <w:r>
        <w:rPr>
          <w:rFonts w:ascii="Noto Sans CJK TC" w:cs="Noto Sans CJK TC" w:eastAsia="Noto Sans CJK TC" w:hAnsi="Noto Sans CJK TC"/>
        </w:rPr>
        <w:t xml:space="preserve">制度培養出什麼樣的人，人就會做出什麼樣的事。內控的最後一道防線不在稽核室，而在我們如何</w:t>
      </w:r>
      <w:r>
        <w:rPr>
          <w:rFonts w:ascii="Noto Sans CJK TC" w:cs="Noto Sans CJK TC" w:eastAsia="Noto Sans CJK TC" w:hAnsi="Noto Sans CJK TC"/>
          <w:b/>
          <w:bCs/>
        </w:rPr>
        <w:t xml:space="preserve">選人、酬人、管人</w:t>
      </w:r>
      <w:r>
        <w:rPr>
          <w:rFonts w:ascii="Noto Sans CJK TC" w:cs="Noto Sans CJK TC" w:eastAsia="Noto Sans CJK TC" w:hAnsi="Noto Sans CJK TC"/>
        </w:rPr>
        <w:t xml:space="preserve">。這正是人力資源部門存在的理由。</w:t>
      </w:r>
    </w:p>
    <w:p>
      <w:pPr>
        <w:spacing w:after="160" w:line="320"/>
      </w:pPr>
      <w:r>
        <w:rPr>
          <w:rFonts w:ascii="Noto Sans CJK TC" w:cs="Noto Sans CJK TC" w:eastAsia="Noto Sans CJK TC" w:hAnsi="Noto Sans CJK TC"/>
        </w:rPr>
        <w:t xml:space="preserve">謝謝大家。</w:t>
      </w:r>
    </w:p>
    <w:p>
      <w:pPr>
        <w:pStyle w:val="Heading1"/>
        <w:spacing w:after="200" w:before="320"/>
      </w:pPr>
      <w:r>
        <w:rPr>
          <w:rFonts w:ascii="Noto Sans CJK TC" w:cs="Noto Sans CJK TC" w:eastAsia="Noto Sans CJK TC" w:hAnsi="Noto Sans CJK TC"/>
          <w:b/>
          <w:bCs/>
          <w:color w:val="1F3864"/>
          <w:sz w:val="28"/>
          <w:szCs w:val="28"/>
        </w:rPr>
        <w:t xml:space="preserve">附註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Noto Sans CJK TC" w:cs="Noto Sans CJK TC" w:eastAsia="Noto Sans CJK TC" w:hAnsi="Noto Sans CJK TC"/>
        </w:rPr>
        <w:t xml:space="preserve">本講稿依 2026-08-24 版《保德信人壽連續金錢詐取弊案 綜合調查報告》（report.md）改寫；案情細節、金額口徑差異與未證實事項，以該報告附錄一為準。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Noto Sans CJK TC" w:cs="Noto Sans CJK TC" w:eastAsia="Noto Sans CJK TC" w:hAnsi="Noto Sans CJK TC"/>
        </w:rPr>
        <w:t xml:space="preserve">8/24 新案之受害金額與件數，截至本講稿撰寫日公司尚未公布；佣金率等業界通說數字非官方公表。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2026-08-26T03:47:49.391Z</dcterms:created>
  <dcterms:modified xsi:type="dcterms:W3CDTF">2026-08-26T03:47:49.391Z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