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He</w:t>
      </w:r>
      <w:r w:rsidDel="00000000" w:rsidR="00000000" w:rsidRPr="00000000">
        <w:rPr>
          <w:rFonts w:ascii="Times New Roman" w:cs="Times New Roman" w:eastAsia="Times New Roman" w:hAnsi="Times New Roman"/>
          <w:b w:val="1"/>
          <w:i w:val="1"/>
          <w:sz w:val="24"/>
          <w:szCs w:val="24"/>
          <w:vertAlign w:val="subscript"/>
          <w:rtl w:val="0"/>
        </w:rPr>
        <w:t xml:space="preserve">i</w:t>
      </w:r>
      <w:r w:rsidDel="00000000" w:rsidR="00000000" w:rsidRPr="00000000">
        <w:rPr>
          <w:rFonts w:ascii="Times New Roman" w:cs="Times New Roman" w:eastAsia="Times New Roman" w:hAnsi="Times New Roman"/>
          <w:b w:val="1"/>
          <w:i w:val="1"/>
          <w:sz w:val="24"/>
          <w:szCs w:val="24"/>
          <w:rtl w:val="0"/>
        </w:rPr>
        <w:t xml:space="preserve"> should do his or her</w:t>
      </w:r>
      <w:r w:rsidDel="00000000" w:rsidR="00000000" w:rsidRPr="00000000">
        <w:rPr>
          <w:rFonts w:ascii="Times New Roman" w:cs="Times New Roman" w:eastAsia="Times New Roman" w:hAnsi="Times New Roman"/>
          <w:b w:val="1"/>
          <w:i w:val="1"/>
          <w:sz w:val="24"/>
          <w:szCs w:val="24"/>
          <w:vertAlign w:val="subscript"/>
          <w:rtl w:val="0"/>
        </w:rPr>
        <w:t xml:space="preserve">i</w:t>
      </w:r>
      <w:r w:rsidDel="00000000" w:rsidR="00000000" w:rsidRPr="00000000">
        <w:rPr>
          <w:rFonts w:ascii="Times New Roman" w:cs="Times New Roman" w:eastAsia="Times New Roman" w:hAnsi="Times New Roman"/>
          <w:b w:val="1"/>
          <w:i w:val="1"/>
          <w:sz w:val="24"/>
          <w:szCs w:val="24"/>
          <w:rtl w:val="0"/>
        </w:rPr>
        <w:t xml:space="preserve"> homework if they</w:t>
      </w:r>
      <w:r w:rsidDel="00000000" w:rsidR="00000000" w:rsidRPr="00000000">
        <w:rPr>
          <w:rFonts w:ascii="Times New Roman" w:cs="Times New Roman" w:eastAsia="Times New Roman" w:hAnsi="Times New Roman"/>
          <w:b w:val="1"/>
          <w:i w:val="1"/>
          <w:sz w:val="24"/>
          <w:szCs w:val="24"/>
          <w:vertAlign w:val="subscript"/>
          <w:rtl w:val="0"/>
        </w:rPr>
        <w:t xml:space="preserve">i</w:t>
      </w:r>
      <w:r w:rsidDel="00000000" w:rsidR="00000000" w:rsidRPr="00000000">
        <w:rPr>
          <w:rFonts w:ascii="Times New Roman" w:cs="Times New Roman" w:eastAsia="Times New Roman" w:hAnsi="Times New Roman"/>
          <w:b w:val="1"/>
          <w:i w:val="1"/>
          <w:sz w:val="24"/>
          <w:szCs w:val="24"/>
          <w:rtl w:val="0"/>
        </w:rPr>
        <w:t xml:space="preserve"> want a good grade</w:t>
      </w:r>
      <w:r w:rsidDel="00000000" w:rsidR="00000000" w:rsidRPr="00000000">
        <w:rPr>
          <w:rFonts w:ascii="Times New Roman" w:cs="Times New Roman" w:eastAsia="Times New Roman" w:hAnsi="Times New Roman"/>
          <w:b w:val="1"/>
          <w:sz w:val="24"/>
          <w:szCs w:val="24"/>
          <w:rtl w:val="0"/>
        </w:rPr>
        <w:t xml:space="preserve">: Variable L2 epicene pronoun usage</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Communicative contexts arise in which</w:t>
      </w:r>
      <w:r w:rsidDel="00000000" w:rsidR="00000000" w:rsidRPr="00000000">
        <w:rPr>
          <w:rFonts w:ascii="Times New Roman" w:cs="Times New Roman" w:eastAsia="Times New Roman" w:hAnsi="Times New Roman"/>
          <w:sz w:val="24"/>
          <w:szCs w:val="24"/>
          <w:rtl w:val="0"/>
        </w:rPr>
        <w:t xml:space="preserve"> speakers need to refer to a single referent without specifying their gender</w:t>
      </w:r>
      <w:r w:rsidDel="00000000" w:rsidR="00000000" w:rsidRPr="00000000">
        <w:rPr>
          <w:rFonts w:ascii="Times New Roman" w:cs="Times New Roman" w:eastAsia="Times New Roman" w:hAnsi="Times New Roman"/>
          <w:sz w:val="24"/>
          <w:szCs w:val="24"/>
          <w:rtl w:val="0"/>
        </w:rPr>
        <w:t xml:space="preserve">. However, English lacks a distinct and standard gender-neutral (i.e., epicene) third-person singular pronoun. This has yielded three primary epicene variants: </w:t>
      </w:r>
      <w:r w:rsidDel="00000000" w:rsidR="00000000" w:rsidRPr="00000000">
        <w:rPr>
          <w:rFonts w:ascii="Times New Roman" w:cs="Times New Roman" w:eastAsia="Times New Roman" w:hAnsi="Times New Roman"/>
          <w:sz w:val="24"/>
          <w:szCs w:val="24"/>
          <w:highlight w:val="white"/>
          <w:rtl w:val="0"/>
        </w:rPr>
        <w:t xml:space="preserve">singular </w:t>
      </w:r>
      <w:r w:rsidDel="00000000" w:rsidR="00000000" w:rsidRPr="00000000">
        <w:rPr>
          <w:rFonts w:ascii="Times New Roman" w:cs="Times New Roman" w:eastAsia="Times New Roman" w:hAnsi="Times New Roman"/>
          <w:i w:val="1"/>
          <w:sz w:val="24"/>
          <w:szCs w:val="24"/>
          <w:highlight w:val="white"/>
          <w:rtl w:val="0"/>
        </w:rPr>
        <w:t xml:space="preserve">they, he or she</w:t>
      </w:r>
      <w:r w:rsidDel="00000000" w:rsidR="00000000" w:rsidRPr="00000000">
        <w:rPr>
          <w:rFonts w:ascii="Times New Roman" w:cs="Times New Roman" w:eastAsia="Times New Roman" w:hAnsi="Times New Roman"/>
          <w:sz w:val="24"/>
          <w:szCs w:val="24"/>
          <w:highlight w:val="white"/>
          <w:rtl w:val="0"/>
        </w:rPr>
        <w:t xml:space="preserve">, and generic</w:t>
      </w:r>
      <w:r w:rsidDel="00000000" w:rsidR="00000000" w:rsidRPr="00000000">
        <w:rPr>
          <w:rFonts w:ascii="Times New Roman" w:cs="Times New Roman" w:eastAsia="Times New Roman" w:hAnsi="Times New Roman"/>
          <w:i w:val="1"/>
          <w:sz w:val="24"/>
          <w:szCs w:val="24"/>
          <w:highlight w:val="white"/>
          <w:rtl w:val="0"/>
        </w:rPr>
        <w:t xml:space="preserve"> he</w:t>
      </w:r>
      <w:r w:rsidDel="00000000" w:rsidR="00000000" w:rsidRPr="00000000">
        <w:rPr>
          <w:rFonts w:ascii="Times New Roman" w:cs="Times New Roman" w:eastAsia="Times New Roman" w:hAnsi="Times New Roman"/>
          <w:sz w:val="24"/>
          <w:szCs w:val="24"/>
          <w:highlight w:val="white"/>
          <w:rtl w:val="0"/>
        </w:rPr>
        <w:t xml:space="preserve">. First-language</w:t>
      </w:r>
      <w:r w:rsidDel="00000000" w:rsidR="00000000" w:rsidRPr="00000000">
        <w:rPr>
          <w:rFonts w:ascii="Times New Roman" w:cs="Times New Roman" w:eastAsia="Times New Roman" w:hAnsi="Times New Roman"/>
          <w:sz w:val="24"/>
          <w:szCs w:val="24"/>
          <w:rtl w:val="0"/>
        </w:rPr>
        <w:t xml:space="preserve"> (L1) and second-language (L2) English speakers have exhibited variation with these forms (e.g., Stormbom, 2018). </w:t>
      </w:r>
      <w:r w:rsidDel="00000000" w:rsidR="00000000" w:rsidRPr="00000000">
        <w:rPr>
          <w:rFonts w:ascii="Times New Roman" w:cs="Times New Roman" w:eastAsia="Times New Roman" w:hAnsi="Times New Roman"/>
          <w:sz w:val="24"/>
          <w:szCs w:val="24"/>
          <w:highlight w:val="white"/>
          <w:rtl w:val="0"/>
        </w:rPr>
        <w:t xml:space="preserve">Investigating L2 epicene pronoun variation is important for English language instructors and learners, as epicene pronoun usage is related to the development of sociocultural competence in that L2 English learners could be interpreted as using exclusionary language or conveying the wrong information depending on the pronoun used. Prior work has primarily focused on homogenous groups of L2 English learners in their countries of origin (Abudalbuh, 2012; Sibanda &amp; Begede, 2015; Stormbom, 2019; Zhang &amp; Yang, 2021). As a result, previous studies have been unable to examine the roles of cultural immersion and possible L1 effects in comparison to other L2 English learners in similar contexts. The analysis presented here builds upon this work by analyzing </w:t>
      </w:r>
      <w:r w:rsidDel="00000000" w:rsidR="00000000" w:rsidRPr="00000000">
        <w:rPr>
          <w:rFonts w:ascii="Times New Roman" w:cs="Times New Roman" w:eastAsia="Times New Roman" w:hAnsi="Times New Roman"/>
          <w:sz w:val="24"/>
          <w:szCs w:val="24"/>
          <w:rtl w:val="0"/>
        </w:rPr>
        <w:t xml:space="preserve">data from </w:t>
      </w:r>
      <w:r w:rsidDel="00000000" w:rsidR="00000000" w:rsidRPr="00000000">
        <w:rPr>
          <w:rFonts w:ascii="Times New Roman" w:cs="Times New Roman" w:eastAsia="Times New Roman" w:hAnsi="Times New Roman"/>
          <w:sz w:val="24"/>
          <w:szCs w:val="24"/>
          <w:highlight w:val="white"/>
          <w:rtl w:val="0"/>
        </w:rPr>
        <w:t xml:space="preserve">a heterogeneous group of</w:t>
      </w:r>
      <w:r w:rsidDel="00000000" w:rsidR="00000000" w:rsidRPr="00000000">
        <w:rPr>
          <w:rFonts w:ascii="Times New Roman" w:cs="Times New Roman" w:eastAsia="Times New Roman" w:hAnsi="Times New Roman"/>
          <w:sz w:val="24"/>
          <w:szCs w:val="24"/>
          <w:rtl w:val="0"/>
        </w:rPr>
        <w:t xml:space="preserve"> 83 learners from 12 L1s in the University of Pittsburgh English Language Institute Corpus (PELIC). Our mixed-effects multinomial analysis compares the three epicene pronoun variants according to (extra)linguistic predictors that include the learner's gender, years of English study, age, and L1; and the grammatical case of the pronoun (subject, object, reflexive, possessive), antecedent type (indefinite pronoun, indefinite noun phrase, qualified noun phrase, definite noun phrase), and clause location (same, different). </w:t>
      </w:r>
      <w:r w:rsidDel="00000000" w:rsidR="00000000" w:rsidRPr="00000000">
        <w:rPr>
          <w:rFonts w:ascii="Times New Roman" w:cs="Times New Roman" w:eastAsia="Times New Roman" w:hAnsi="Times New Roman"/>
          <w:sz w:val="24"/>
          <w:szCs w:val="24"/>
          <w:highlight w:val="white"/>
          <w:rtl w:val="0"/>
        </w:rPr>
        <w:t xml:space="preserve">Epicene pronoun usage patterns are compared within the L2 learner group without comparison to an expert English speaker group, which allows us to analyze L2 systems of epicene reference in their own right. Namely, we highlight exclusively what learners do in conveying epicene references and the factors that influence such variation. </w:t>
      </w:r>
      <w:r w:rsidDel="00000000" w:rsidR="00000000" w:rsidRPr="00000000">
        <w:rPr>
          <w:rFonts w:ascii="Times New Roman" w:cs="Times New Roman" w:eastAsia="Times New Roman" w:hAnsi="Times New Roman"/>
          <w:sz w:val="24"/>
          <w:szCs w:val="24"/>
          <w:rtl w:val="0"/>
        </w:rPr>
        <w:t xml:space="preserve">The current study found that L2 English learners in PELIC used </w:t>
      </w:r>
      <w:r w:rsidDel="00000000" w:rsidR="00000000" w:rsidRPr="00000000">
        <w:rPr>
          <w:rFonts w:ascii="Times New Roman" w:cs="Times New Roman" w:eastAsia="Times New Roman" w:hAnsi="Times New Roman"/>
          <w:i w:val="1"/>
          <w:sz w:val="24"/>
          <w:szCs w:val="24"/>
          <w:rtl w:val="0"/>
        </w:rPr>
        <w:t xml:space="preserve">he or she</w:t>
      </w:r>
      <w:r w:rsidDel="00000000" w:rsidR="00000000" w:rsidRPr="00000000">
        <w:rPr>
          <w:rFonts w:ascii="Times New Roman" w:cs="Times New Roman" w:eastAsia="Times New Roman" w:hAnsi="Times New Roman"/>
          <w:sz w:val="24"/>
          <w:szCs w:val="24"/>
          <w:rtl w:val="0"/>
        </w:rPr>
        <w:t xml:space="preserve"> most frequently and generic </w:t>
      </w:r>
      <w:r w:rsidDel="00000000" w:rsidR="00000000" w:rsidRPr="00000000">
        <w:rPr>
          <w:rFonts w:ascii="Times New Roman" w:cs="Times New Roman" w:eastAsia="Times New Roman" w:hAnsi="Times New Roman"/>
          <w:i w:val="1"/>
          <w:sz w:val="24"/>
          <w:szCs w:val="24"/>
          <w:rtl w:val="0"/>
        </w:rPr>
        <w:t xml:space="preserve">he</w:t>
      </w:r>
      <w:r w:rsidDel="00000000" w:rsidR="00000000" w:rsidRPr="00000000">
        <w:rPr>
          <w:rFonts w:ascii="Times New Roman" w:cs="Times New Roman" w:eastAsia="Times New Roman" w:hAnsi="Times New Roman"/>
          <w:sz w:val="24"/>
          <w:szCs w:val="24"/>
          <w:rtl w:val="0"/>
        </w:rPr>
        <w:t xml:space="preserve"> least frequently. This differs from previous research, which has consistently shown high rates of generic </w:t>
      </w:r>
      <w:r w:rsidDel="00000000" w:rsidR="00000000" w:rsidRPr="00000000">
        <w:rPr>
          <w:rFonts w:ascii="Times New Roman" w:cs="Times New Roman" w:eastAsia="Times New Roman" w:hAnsi="Times New Roman"/>
          <w:i w:val="1"/>
          <w:sz w:val="24"/>
          <w:szCs w:val="24"/>
          <w:rtl w:val="0"/>
        </w:rPr>
        <w:t xml:space="preserve">he</w:t>
      </w:r>
      <w:r w:rsidDel="00000000" w:rsidR="00000000" w:rsidRPr="00000000">
        <w:rPr>
          <w:rFonts w:ascii="Times New Roman" w:cs="Times New Roman" w:eastAsia="Times New Roman" w:hAnsi="Times New Roman"/>
          <w:sz w:val="24"/>
          <w:szCs w:val="24"/>
          <w:rtl w:val="0"/>
        </w:rPr>
        <w:t xml:space="preserve"> (e.g., Abudalbuh, 2012; Zhang &amp; Yang, 2021). We interpret this difference as potentially reflecting that PELIC learners may have primarily received </w:t>
      </w:r>
      <w:r w:rsidDel="00000000" w:rsidR="00000000" w:rsidRPr="00000000">
        <w:rPr>
          <w:rFonts w:ascii="Times New Roman" w:cs="Times New Roman" w:eastAsia="Times New Roman" w:hAnsi="Times New Roman"/>
          <w:i w:val="1"/>
          <w:sz w:val="24"/>
          <w:szCs w:val="24"/>
          <w:rtl w:val="0"/>
        </w:rPr>
        <w:t xml:space="preserve">he or she</w:t>
      </w:r>
      <w:r w:rsidDel="00000000" w:rsidR="00000000" w:rsidRPr="00000000">
        <w:rPr>
          <w:rFonts w:ascii="Times New Roman" w:cs="Times New Roman" w:eastAsia="Times New Roman" w:hAnsi="Times New Roman"/>
          <w:sz w:val="24"/>
          <w:szCs w:val="24"/>
          <w:rtl w:val="0"/>
        </w:rPr>
        <w:t xml:space="preserve"> forms as input in prescriptive American English sources, as American English has been observed as implementing </w:t>
      </w:r>
      <w:r w:rsidDel="00000000" w:rsidR="00000000" w:rsidRPr="00000000">
        <w:rPr>
          <w:rFonts w:ascii="Times New Roman" w:cs="Times New Roman" w:eastAsia="Times New Roman" w:hAnsi="Times New Roman"/>
          <w:i w:val="1"/>
          <w:sz w:val="24"/>
          <w:szCs w:val="24"/>
          <w:rtl w:val="0"/>
        </w:rPr>
        <w:t xml:space="preserve">he or she</w:t>
      </w:r>
      <w:r w:rsidDel="00000000" w:rsidR="00000000" w:rsidRPr="00000000">
        <w:rPr>
          <w:rFonts w:ascii="Times New Roman" w:cs="Times New Roman" w:eastAsia="Times New Roman" w:hAnsi="Times New Roman"/>
          <w:sz w:val="24"/>
          <w:szCs w:val="24"/>
          <w:rtl w:val="0"/>
        </w:rPr>
        <w:t xml:space="preserve"> more frequently in formal writing (Curzan, 2014). This would suggest that the preference for </w:t>
      </w:r>
      <w:r w:rsidDel="00000000" w:rsidR="00000000" w:rsidRPr="00000000">
        <w:rPr>
          <w:rFonts w:ascii="Times New Roman" w:cs="Times New Roman" w:eastAsia="Times New Roman" w:hAnsi="Times New Roman"/>
          <w:i w:val="1"/>
          <w:sz w:val="24"/>
          <w:szCs w:val="24"/>
          <w:rtl w:val="0"/>
        </w:rPr>
        <w:t xml:space="preserve">he or she</w:t>
      </w:r>
      <w:r w:rsidDel="00000000" w:rsidR="00000000" w:rsidRPr="00000000">
        <w:rPr>
          <w:rFonts w:ascii="Times New Roman" w:cs="Times New Roman" w:eastAsia="Times New Roman" w:hAnsi="Times New Roman"/>
          <w:sz w:val="24"/>
          <w:szCs w:val="24"/>
          <w:rtl w:val="0"/>
        </w:rPr>
        <w:t xml:space="preserve"> is the result of outdated language teaching materials or methods, as usage of </w:t>
      </w:r>
      <w:r w:rsidDel="00000000" w:rsidR="00000000" w:rsidRPr="00000000">
        <w:rPr>
          <w:rFonts w:ascii="Times New Roman" w:cs="Times New Roman" w:eastAsia="Times New Roman" w:hAnsi="Times New Roman"/>
          <w:i w:val="1"/>
          <w:sz w:val="24"/>
          <w:szCs w:val="24"/>
          <w:rtl w:val="0"/>
        </w:rPr>
        <w:t xml:space="preserve">he or she</w:t>
      </w:r>
      <w:r w:rsidDel="00000000" w:rsidR="00000000" w:rsidRPr="00000000">
        <w:rPr>
          <w:rFonts w:ascii="Times New Roman" w:cs="Times New Roman" w:eastAsia="Times New Roman" w:hAnsi="Times New Roman"/>
          <w:sz w:val="24"/>
          <w:szCs w:val="24"/>
          <w:rtl w:val="0"/>
        </w:rPr>
        <w:t xml:space="preserve"> by L1 English speakers has been declining (Stormbom, 2021, 2023). Results also showed an effect for L1s without grammatical gender to disfavor generic </w:t>
      </w:r>
      <w:r w:rsidDel="00000000" w:rsidR="00000000" w:rsidRPr="00000000">
        <w:rPr>
          <w:rFonts w:ascii="Times New Roman" w:cs="Times New Roman" w:eastAsia="Times New Roman" w:hAnsi="Times New Roman"/>
          <w:i w:val="1"/>
          <w:sz w:val="24"/>
          <w:szCs w:val="24"/>
          <w:rtl w:val="0"/>
        </w:rPr>
        <w:t xml:space="preserve">he</w:t>
      </w:r>
      <w:r w:rsidDel="00000000" w:rsidR="00000000" w:rsidRPr="00000000">
        <w:rPr>
          <w:rFonts w:ascii="Times New Roman" w:cs="Times New Roman" w:eastAsia="Times New Roman" w:hAnsi="Times New Roman"/>
          <w:sz w:val="24"/>
          <w:szCs w:val="24"/>
          <w:rtl w:val="0"/>
        </w:rPr>
        <w:t xml:space="preserve"> and favor singular </w:t>
      </w:r>
      <w:r w:rsidDel="00000000" w:rsidR="00000000" w:rsidRPr="00000000">
        <w:rPr>
          <w:rFonts w:ascii="Times New Roman" w:cs="Times New Roman" w:eastAsia="Times New Roman" w:hAnsi="Times New Roman"/>
          <w:i w:val="1"/>
          <w:sz w:val="24"/>
          <w:szCs w:val="24"/>
          <w:rtl w:val="0"/>
        </w:rPr>
        <w:t xml:space="preserve">they</w:t>
      </w:r>
      <w:r w:rsidDel="00000000" w:rsidR="00000000" w:rsidRPr="00000000">
        <w:rPr>
          <w:rFonts w:ascii="Times New Roman" w:cs="Times New Roman" w:eastAsia="Times New Roman" w:hAnsi="Times New Roman"/>
          <w:sz w:val="24"/>
          <w:szCs w:val="24"/>
          <w:rtl w:val="0"/>
        </w:rPr>
        <w:t xml:space="preserve">, which aligns with findings for L2 English learners in settings outside of the United States (Stormbom 2018, 2021). </w:t>
      </w:r>
      <w:r w:rsidDel="00000000" w:rsidR="00000000" w:rsidRPr="00000000">
        <w:rPr>
          <w:rFonts w:ascii="Times New Roman" w:cs="Times New Roman" w:eastAsia="Times New Roman" w:hAnsi="Times New Roman"/>
          <w:sz w:val="24"/>
          <w:szCs w:val="24"/>
          <w:highlight w:val="white"/>
          <w:rtl w:val="0"/>
        </w:rPr>
        <w:t xml:space="preserve">The results of this study contribute to our understanding of the influence of L1 and sociocultural background on patterns of gendered speech variation in L2 English. </w:t>
      </w:r>
      <w:r w:rsidDel="00000000" w:rsidR="00000000" w:rsidRPr="00000000">
        <w:br w:type="page"/>
      </w: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tl w:val="0"/>
        </w:rPr>
      </w:r>
    </w:p>
    <w:p w:rsidR="00000000" w:rsidDel="00000000" w:rsidP="00000000" w:rsidRDefault="00000000" w:rsidRPr="00000000" w14:paraId="00000005">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Abudalbuh, M. (2012). </w:t>
      </w:r>
      <w:r w:rsidDel="00000000" w:rsidR="00000000" w:rsidRPr="00000000">
        <w:rPr>
          <w:rFonts w:ascii="Times New Roman" w:cs="Times New Roman" w:eastAsia="Times New Roman" w:hAnsi="Times New Roman"/>
          <w:i w:val="1"/>
          <w:sz w:val="24"/>
          <w:szCs w:val="24"/>
          <w:rtl w:val="0"/>
        </w:rPr>
        <w:t xml:space="preserve">Ideology, gender roles, and pronominal choice: A sociolinguistic analysis of the use of English third person generic pronouns by native speakers of Arabic</w:t>
      </w:r>
      <w:r w:rsidDel="00000000" w:rsidR="00000000" w:rsidRPr="00000000">
        <w:rPr>
          <w:rFonts w:ascii="Times New Roman" w:cs="Times New Roman" w:eastAsia="Times New Roman" w:hAnsi="Times New Roman"/>
          <w:sz w:val="24"/>
          <w:szCs w:val="24"/>
          <w:rtl w:val="0"/>
        </w:rPr>
        <w:t xml:space="preserve"> [PhD Thesis]. University of Kansas.</w:t>
      </w:r>
    </w:p>
    <w:p w:rsidR="00000000" w:rsidDel="00000000" w:rsidP="00000000" w:rsidRDefault="00000000" w:rsidRPr="00000000" w14:paraId="00000006">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Curzan, A. (2015). </w:t>
      </w:r>
      <w:r w:rsidDel="00000000" w:rsidR="00000000" w:rsidRPr="00000000">
        <w:rPr>
          <w:rFonts w:ascii="Times New Roman" w:cs="Times New Roman" w:eastAsia="Times New Roman" w:hAnsi="Times New Roman"/>
          <w:i w:val="1"/>
          <w:sz w:val="24"/>
          <w:szCs w:val="24"/>
          <w:rtl w:val="0"/>
        </w:rPr>
        <w:t xml:space="preserve">Fixing English: Prescriptivism and language history</w:t>
      </w:r>
      <w:r w:rsidDel="00000000" w:rsidR="00000000" w:rsidRPr="00000000">
        <w:rPr>
          <w:rFonts w:ascii="Times New Roman" w:cs="Times New Roman" w:eastAsia="Times New Roman" w:hAnsi="Times New Roman"/>
          <w:sz w:val="24"/>
          <w:szCs w:val="24"/>
          <w:rtl w:val="0"/>
        </w:rPr>
        <w:t xml:space="preserve"> (First paperback edition). Cambridge University Press.</w:t>
      </w:r>
    </w:p>
    <w:p w:rsidR="00000000" w:rsidDel="00000000" w:rsidP="00000000" w:rsidRDefault="00000000" w:rsidRPr="00000000" w14:paraId="00000007">
      <w:pPr>
        <w:spacing w:line="276"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Sibanda, J., &amp; Begede, M. P. (2015). University students’ preferences for gender specific and gender neutral occupational terms and gender neutral singular pronouns: A case study. </w:t>
      </w:r>
      <w:r w:rsidDel="00000000" w:rsidR="00000000" w:rsidRPr="00000000">
        <w:rPr>
          <w:rFonts w:ascii="Times New Roman" w:cs="Times New Roman" w:eastAsia="Times New Roman" w:hAnsi="Times New Roman"/>
          <w:i w:val="1"/>
          <w:sz w:val="24"/>
          <w:szCs w:val="24"/>
          <w:rtl w:val="0"/>
        </w:rPr>
        <w:t xml:space="preserve">Journal of Social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(1–2), 11–21.</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https://doi.org/10.1080/09718923.2015.11893389</w:t>
        </w:r>
      </w:hyperlink>
      <w:r w:rsidDel="00000000" w:rsidR="00000000" w:rsidRPr="00000000">
        <w:rPr>
          <w:rtl w:val="0"/>
        </w:rPr>
      </w:r>
    </w:p>
    <w:p w:rsidR="00000000" w:rsidDel="00000000" w:rsidP="00000000" w:rsidRDefault="00000000" w:rsidRPr="00000000" w14:paraId="00000008">
      <w:pPr>
        <w:spacing w:line="276"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Stormbom, C. (2018). Epicene pronouns in intermediate to advanced EFL writing. </w:t>
      </w:r>
      <w:r w:rsidDel="00000000" w:rsidR="00000000" w:rsidRPr="00000000">
        <w:rPr>
          <w:rFonts w:ascii="Times New Roman" w:cs="Times New Roman" w:eastAsia="Times New Roman" w:hAnsi="Times New Roman"/>
          <w:i w:val="1"/>
          <w:sz w:val="24"/>
          <w:szCs w:val="24"/>
          <w:rtl w:val="0"/>
        </w:rPr>
        <w:t xml:space="preserve">International Journal of Learner Corpus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(1), 1–22.</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https://doi.org/10.1075/ijlcr.16016.sto</w:t>
        </w:r>
      </w:hyperlink>
      <w:r w:rsidDel="00000000" w:rsidR="00000000" w:rsidRPr="00000000">
        <w:rPr>
          <w:rtl w:val="0"/>
        </w:rPr>
      </w:r>
    </w:p>
    <w:p w:rsidR="00000000" w:rsidDel="00000000" w:rsidP="00000000" w:rsidRDefault="00000000" w:rsidRPr="00000000" w14:paraId="00000009">
      <w:pPr>
        <w:spacing w:line="276"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Stormbom, C. (2019). Language change in L2 academic writing: The case of epicene pronouns. </w:t>
      </w:r>
      <w:r w:rsidDel="00000000" w:rsidR="00000000" w:rsidRPr="00000000">
        <w:rPr>
          <w:rFonts w:ascii="Times New Roman" w:cs="Times New Roman" w:eastAsia="Times New Roman" w:hAnsi="Times New Roman"/>
          <w:i w:val="1"/>
          <w:sz w:val="24"/>
          <w:szCs w:val="24"/>
          <w:rtl w:val="0"/>
        </w:rPr>
        <w:t xml:space="preserve">Journal of English for Academic Purposes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95–105.</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https://doi.org/10.1016/j.jeap.2019.02.001</w:t>
        </w:r>
      </w:hyperlink>
      <w:r w:rsidDel="00000000" w:rsidR="00000000" w:rsidRPr="00000000">
        <w:rPr>
          <w:rtl w:val="0"/>
        </w:rPr>
      </w:r>
    </w:p>
    <w:p w:rsidR="00000000" w:rsidDel="00000000" w:rsidP="00000000" w:rsidRDefault="00000000" w:rsidRPr="00000000" w14:paraId="0000000A">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Stormbom, C. (2021). </w:t>
      </w:r>
      <w:r w:rsidDel="00000000" w:rsidR="00000000" w:rsidRPr="00000000">
        <w:rPr>
          <w:rFonts w:ascii="Times New Roman" w:cs="Times New Roman" w:eastAsia="Times New Roman" w:hAnsi="Times New Roman"/>
          <w:i w:val="1"/>
          <w:sz w:val="24"/>
          <w:szCs w:val="24"/>
          <w:rtl w:val="0"/>
        </w:rPr>
        <w:t xml:space="preserve">Gendered language in flux: The use of epicene pronouns in EFL and ELF writing</w:t>
      </w:r>
      <w:r w:rsidDel="00000000" w:rsidR="00000000" w:rsidRPr="00000000">
        <w:rPr>
          <w:rFonts w:ascii="Times New Roman" w:cs="Times New Roman" w:eastAsia="Times New Roman" w:hAnsi="Times New Roman"/>
          <w:sz w:val="24"/>
          <w:szCs w:val="24"/>
          <w:rtl w:val="0"/>
        </w:rPr>
        <w:t xml:space="preserve"> [PhD Thesis]. Åbo Akademi University Press.</w:t>
      </w:r>
    </w:p>
    <w:p w:rsidR="00000000" w:rsidDel="00000000" w:rsidP="00000000" w:rsidRDefault="00000000" w:rsidRPr="00000000" w14:paraId="0000000B">
      <w:pPr>
        <w:spacing w:line="276"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Stormbom, C. (2023). Epicene pronouns new and old. In L. L. Paterson (Ed.), </w:t>
      </w:r>
      <w:r w:rsidDel="00000000" w:rsidR="00000000" w:rsidRPr="00000000">
        <w:rPr>
          <w:rFonts w:ascii="Times New Roman" w:cs="Times New Roman" w:eastAsia="Times New Roman" w:hAnsi="Times New Roman"/>
          <w:i w:val="1"/>
          <w:sz w:val="24"/>
          <w:szCs w:val="24"/>
          <w:rtl w:val="0"/>
        </w:rPr>
        <w:t xml:space="preserve">The Routledge Handbook of Pronouns</w:t>
      </w:r>
      <w:r w:rsidDel="00000000" w:rsidR="00000000" w:rsidRPr="00000000">
        <w:rPr>
          <w:rFonts w:ascii="Times New Roman" w:cs="Times New Roman" w:eastAsia="Times New Roman" w:hAnsi="Times New Roman"/>
          <w:sz w:val="24"/>
          <w:szCs w:val="24"/>
          <w:rtl w:val="0"/>
        </w:rPr>
        <w:t xml:space="preserve"> (1st ed., pp. 411–420). Routledge.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https://doi.org/10.4324/9781003349891-34</w:t>
        </w:r>
      </w:hyperlink>
      <w:r w:rsidDel="00000000" w:rsidR="00000000" w:rsidRPr="00000000">
        <w:rPr>
          <w:rtl w:val="0"/>
        </w:rPr>
      </w:r>
    </w:p>
    <w:p w:rsidR="00000000" w:rsidDel="00000000" w:rsidP="00000000" w:rsidRDefault="00000000" w:rsidRPr="00000000" w14:paraId="0000000C">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X., &amp; Yang, H. (2021). Gender voices in Chinese university students’ English writing: A corpus study. </w:t>
      </w:r>
      <w:r w:rsidDel="00000000" w:rsidR="00000000" w:rsidRPr="00000000">
        <w:rPr>
          <w:rFonts w:ascii="Times New Roman" w:cs="Times New Roman" w:eastAsia="Times New Roman" w:hAnsi="Times New Roman"/>
          <w:i w:val="1"/>
          <w:sz w:val="24"/>
          <w:szCs w:val="24"/>
          <w:rtl w:val="0"/>
        </w:rPr>
        <w:t xml:space="preserve">Linguistics and Education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64</w:t>
      </w:r>
      <w:r w:rsidDel="00000000" w:rsidR="00000000" w:rsidRPr="00000000">
        <w:rPr>
          <w:rFonts w:ascii="Times New Roman" w:cs="Times New Roman" w:eastAsia="Times New Roman" w:hAnsi="Times New Roman"/>
          <w:sz w:val="24"/>
          <w:szCs w:val="24"/>
          <w:rtl w:val="0"/>
        </w:rPr>
        <w:t xml:space="preserve">, 100935.</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https://doi.org/10.1016/j.linged.2021.100935</w:t>
        </w:r>
      </w:hyperlink>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16/j.jeap.2019.02.001" TargetMode="External"/><Relationship Id="rId10" Type="http://schemas.openxmlformats.org/officeDocument/2006/relationships/hyperlink" Target="https://doi.org/10.1016/j.jeap.2019.02.001" TargetMode="External"/><Relationship Id="rId13" Type="http://schemas.openxmlformats.org/officeDocument/2006/relationships/hyperlink" Target="https://doi.org/10.4324/9781003349891-34" TargetMode="External"/><Relationship Id="rId12" Type="http://schemas.openxmlformats.org/officeDocument/2006/relationships/hyperlink" Target="https://doi.org/10.4324/9781003349891-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75/ijlcr.16016.sto" TargetMode="External"/><Relationship Id="rId15" Type="http://schemas.openxmlformats.org/officeDocument/2006/relationships/hyperlink" Target="https://doi.org/10.1016/j.linged.2021.100935" TargetMode="External"/><Relationship Id="rId14" Type="http://schemas.openxmlformats.org/officeDocument/2006/relationships/hyperlink" Target="https://doi.org/10.1016/j.linged.2021.100935" TargetMode="External"/><Relationship Id="rId5" Type="http://schemas.openxmlformats.org/officeDocument/2006/relationships/styles" Target="styles.xml"/><Relationship Id="rId6" Type="http://schemas.openxmlformats.org/officeDocument/2006/relationships/hyperlink" Target="https://doi.org/10.1080/09718923.2015.11893389" TargetMode="External"/><Relationship Id="rId7" Type="http://schemas.openxmlformats.org/officeDocument/2006/relationships/hyperlink" Target="https://doi.org/10.1080/09718923.2015.11893389" TargetMode="External"/><Relationship Id="rId8" Type="http://schemas.openxmlformats.org/officeDocument/2006/relationships/hyperlink" Target="https://doi.org/10.1075/ijlcr.16016.s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