
<file path=[Content_Types].xml><?xml version="1.0" encoding="utf-8"?>
<Types xmlns="http://schemas.openxmlformats.org/package/2006/content-types">
  <Default Extension="bmp" ContentType="image/bmp"/>
  <Default Extension="gif" ContentType="image/gif"/>
  <Default Extension="jpeg" ContentType="image/jpeg"/>
  <Default Extension="jpg" ContentType="image/jpeg"/>
  <Default Extension="odttf" ContentType="application/vnd.openxmlformats-officedocument.obfuscatedFont"/>
  <Default Extension="png" ContentType="image/png"/>
  <Default Extension="rels" ContentType="application/vnd.openxmlformats-package.relationships+xml"/>
  <Default Extension="svg" ContentType="image/svg+xml"/>
  <Default Extension="xml" ContentType="application/xml"/>
  <Override PartName="/docProps/app.xml" ContentType="application/vnd.openxmlformats-officedocument.extended-properties+xml"/>
  <Override PartName="/docProps/custom.xml" ContentType="application/vnd.openxmlformats-officedocument.custom-properties+xml"/>
  <Override PartName="/docProps/core.xml" ContentType="application/vnd.openxmlformats-package.core-properties+xml"/>
  <Override PartName="/word/fontTable.xml" ContentType="application/vnd.openxmlformats-officedocument.wordprocessingml.fontTable+xml"/>
  <Override PartName="/word/document.xml" ContentType="application/vnd.openxmlformats-officedocument.wordprocessingml.template.main+xml"/>
  <Override PartName="/word/settings.xml" ContentType="application/vnd.openxmlformats-officedocument.wordprocessingml.settings+xml"/>
  <Override PartName="/word/numbering.xml" ContentType="application/vnd.openxmlformats-officedocument.wordprocessingml.numbering+xml"/>
  <Override PartName="/word/footer1.xml" ContentType="application/vnd.openxmlformats-officedocument.wordprocessingml.footer+xml"/>
  <Override PartName="/word/comments.xml" ContentType="application/vnd.openxmlformats-officedocument.wordprocessingml.comments+xml"/>
  <Override PartName="/word/styles.xml" ContentType="application/vnd.openxmlformats-officedocument.wordprocessingml.styles+xml"/>
  <Override PartName="/word/endnotes.xml" ContentType="application/vnd.openxmlformats-officedocument.wordprocessingml.endnotes+xml"/>
  <Override PartName="/word/footnotes.xml" ContentType="application/vnd.openxmlformats-officedocument.wordprocessingml.footnote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spacing w:after="240"/>
        <w:jc w:val="center"/>
      </w:pPr>
      <w:r>
        <w:rPr>
          <w:rFonts w:ascii="Times New Roman" w:cs="Times New Roman" w:eastAsia="Times New Roman" w:hAnsi="Times New Roman"/>
          <w:b/>
          <w:bCs/>
          <w:color w:val="000000"/>
          <w:sz w:val="28"/>
          <w:szCs w:val="28"/>
        </w:rPr>
        <w:t xml:space="preserve">MUTUAL NON-DISCLOSURE AGREEMENT</w:t>
      </w:r>
    </w:p>
    <w:p>
      <w:pPr>
        <w:spacing w:after="200"/>
      </w:pPr>
      <w:r>
        <w:t xml:space="preserve">This Mutual Non-Disclosure Agreement (this “Agreement”), effective as of [DATE] (the “Effective Date”), is entered into by and between </w:t>
      </w:r>
      <w:r>
        <w:rPr>
          <w:b/>
          <w:bCs/>
        </w:rPr>
        <w:t xml:space="preserve">Sells Group Investments, LLC d/b/a Sells Group Advisors</w:t>
      </w:r>
      <w:r>
        <w:t xml:space="preserve">, a Texas limited liability company (“Sells Group”), and </w:t>
      </w:r>
      <w:r>
        <w:rPr>
          <w:b/>
          <w:bCs/>
        </w:rPr>
        <w:t xml:space="preserve">[COUNTERPARTY LEGAL NAME]</w:t>
      </w:r>
      <w:r>
        <w:t xml:space="preserve">, a [JURISDICTION] [ENTITY TYPE] (“Counterparty”) (each, a “Party,” and together, the “Parties”). In consideration of the mutual covenants and promises set forth below, the Parties agree as follows.</w:t>
      </w:r>
    </w:p>
    <w:p>
      <w:pPr>
        <w:pStyle w:val="Heading1"/>
      </w:pPr>
      <w:r>
        <w:rPr>
          <w:b/>
          <w:bCs/>
        </w:rPr>
        <w:t xml:space="preserve">Purpose</w:t>
      </w:r>
    </w:p>
    <w:p>
      <w:pPr>
        <w:pStyle w:val="BodyText"/>
      </w:pPr>
      <w:r>
        <w:t xml:space="preserve">The Parties wish to explore one or more potential business opportunities of mutual interest (each, an “Opportunity”). In connection with each Opportunity, each Party may disclose to the other certain confidential and proprietary business information that the disclosing Party (the “Discloser”) desires the receiving Party (the “Recipient”) to treat as confidential in accordance with this Agreement.</w:t>
      </w:r>
    </w:p>
    <w:p>
      <w:pPr>
        <w:pStyle w:val="Heading1"/>
      </w:pPr>
      <w:r>
        <w:rPr>
          <w:b/>
          <w:bCs/>
        </w:rPr>
        <w:t xml:space="preserve">Confidential Information</w:t>
      </w:r>
    </w:p>
    <w:p>
      <w:pPr>
        <w:pStyle w:val="Heading2"/>
      </w:pPr>
      <w:r>
        <w:rPr>
          <w:b/>
          <w:bCs/>
        </w:rPr>
        <w:t xml:space="preserve">Definition.</w:t>
      </w:r>
    </w:p>
    <w:p>
      <w:pPr>
        <w:pStyle w:val="BodyText"/>
      </w:pPr>
      <w:r>
        <w:t xml:space="preserve">“Confidential Information” means all non-public, proprietary or confidential information disclosed by a Party (the “Discloser”) to the other Party (the “Recipient”) on or after the Effective Date, in any form or medium, including: (a) business, financial, operational, customer, supplier, employee, technology, intellectual property and regulatory information of Discloser and its Affiliates; (b) all notes, analyses, studies, summaries, models, projections and other materials prepared by or for Recipient or its Representatives to the extent they contain, reflect or are based upon any of the foregoing; and (c) the existence and terms of this Agreement, the fact that Confidential Information has been made available to Recipient, and that discussions or negotiations are or may be occurring between the Parties; provided that Recipient may disclose the existence of this Agreement and the existence of discussions to its limited partners, investors, lenders, and regulatory authorities to the extent required to satisfy Recipient’s ordinary course reporting, fundraising, or regulatory obligations, and only on a confidential basis. Confidential Information may also include information of a third party that is in Discloser’s possession; Discloser will disclose third-party information only to the extent it determines such disclosure is authorized for the purpose of this Agreement.</w:t>
      </w:r>
    </w:p>
    <w:p>
      <w:pPr>
        <w:pStyle w:val="BodyText"/>
      </w:pPr>
      <w:r>
        <w:t xml:space="preserve">“Affiliate” means, with respect to any person or entity, any other person or entity that directly or indirectly controls, is controlled by, or is under common control with such person or entity (and “control” means the power to direct management or policies, whether through ownership of voting securities, by contract, or otherwise).</w:t>
      </w:r>
    </w:p>
    <w:p>
      <w:pPr>
        <w:pStyle w:val="Heading2"/>
      </w:pPr>
      <w:r>
        <w:rPr>
          <w:b/>
          <w:bCs/>
        </w:rPr>
        <w:t xml:space="preserve">Exclusions.</w:t>
      </w:r>
    </w:p>
    <w:p>
      <w:pPr>
        <w:pStyle w:val="BodyText"/>
      </w:pPr>
      <w:r>
        <w:t xml:space="preserve">Confidential Information does not include information that Recipient can demonstrate by contemporaneous written records: (i) was or becomes generally available to the public other than as a result of a disclosure by Recipient or any of its Representatives in breach of this Agreement; (ii) was in Recipient’s possession on a non-confidential basis prior to disclosure by or on behalf of Discloser; (iii) becomes available to Recipient on a non-confidential basis from a source other than Discloser or its Representatives that is not, to Recipient’s knowledge, subject to a contractual or legal obligation of confidentiality; or (iv) was independently developed by Recipient without use of or reference to any Confidential Information.</w:t>
      </w:r>
    </w:p>
    <w:p>
      <w:pPr>
        <w:pStyle w:val="Heading1"/>
      </w:pPr>
      <w:r>
        <w:rPr>
          <w:b/>
          <w:bCs/>
        </w:rPr>
        <w:t xml:space="preserve">Use and Protection</w:t>
      </w:r>
    </w:p>
    <w:p>
      <w:pPr>
        <w:pStyle w:val="Heading2"/>
      </w:pPr>
      <w:r>
        <w:rPr>
          <w:b/>
          <w:bCs/>
        </w:rPr>
        <w:t xml:space="preserve">Use; protection; non-disclosure.</w:t>
      </w:r>
    </w:p>
    <w:p>
      <w:pPr>
        <w:pStyle w:val="BodyText"/>
      </w:pPr>
      <w:r>
        <w:t xml:space="preserve">Recipient shall (i) use Confidential Information solely for the evaluation or pursuit of an Opportunity and for no other purpose; (ii) keep the Confidential Information confidential and not disclose any Confidential Information to any person other than its Representatives who have a need to know such information for the evaluation or pursuit of an Opportunity and are bound by confidentiality obligations at least as protective as those contained herein; and (iii) protect the Confidential Information using at least the same degree of care that Recipient uses to protect its own confidential information of a similar nature, but in no event less than a reasonable degree of care.</w:t>
      </w:r>
    </w:p>
    <w:p>
      <w:pPr>
        <w:pStyle w:val="Heading2"/>
      </w:pPr>
      <w:r>
        <w:rPr>
          <w:b/>
          <w:bCs/>
        </w:rPr>
        <w:t xml:space="preserve">Representatives.</w:t>
      </w:r>
    </w:p>
    <w:p>
      <w:pPr>
        <w:pStyle w:val="BodyText"/>
      </w:pPr>
      <w:r>
        <w:t xml:space="preserve">“Representatives” means, with respect to Recipient, its Affiliates and its and their respective directors, officers, employees, agents, partners, members, consultants, current or prospective financing sources, co-investors, investment committee members, and legal, tax, accounting, financial, and other professional advisors. Recipient shall be responsible for any breach of this Agreement by any of its Representatives, and by any other person to whom Recipient discloses Confidential Information, as if such breach were committed by Recipient.</w:t>
      </w:r>
    </w:p>
    <w:p>
      <w:pPr>
        <w:pStyle w:val="Heading2"/>
      </w:pPr>
      <w:r>
        <w:rPr>
          <w:b/>
          <w:bCs/>
        </w:rPr>
        <w:t xml:space="preserve">No reverse engineering.</w:t>
      </w:r>
    </w:p>
    <w:p>
      <w:pPr>
        <w:pStyle w:val="BodyText"/>
      </w:pPr>
      <w:r>
        <w:t xml:space="preserve">Recipient shall not reverse engineer, disassemble or decompile any prototypes, samples, software or other tangible materials embodying Confidential Information.</w:t>
      </w:r>
    </w:p>
    <w:p>
      <w:pPr>
        <w:pStyle w:val="Heading2"/>
      </w:pPr>
      <w:r>
        <w:rPr>
          <w:b/>
          <w:bCs/>
        </w:rPr>
        <w:t xml:space="preserve">Notice of unauthorized disclosure.</w:t>
      </w:r>
    </w:p>
    <w:p>
      <w:pPr>
        <w:pStyle w:val="BodyText"/>
      </w:pPr>
      <w:r>
        <w:t xml:space="preserve">Recipient shall promptly notify Discloser upon discovery of any unauthorized disclosure or use of Confidential Information and shall reasonably cooperate with Discloser to mitigate such unauthorized disclosure or use.</w:t>
      </w:r>
    </w:p>
    <w:p>
      <w:pPr>
        <w:pStyle w:val="Heading1"/>
      </w:pPr>
      <w:r>
        <w:rPr>
          <w:b/>
          <w:bCs/>
        </w:rPr>
        <w:t xml:space="preserve">Compelled Disclosure</w:t>
      </w:r>
    </w:p>
    <w:p>
      <w:pPr>
        <w:pStyle w:val="BodyText"/>
      </w:pPr>
      <w:r>
        <w:t xml:space="preserve">If Recipient or any of its Representatives is required by applicable law, regulation, rule or legal process to disclose any Confidential Information, Recipient shall, to the extent legally permissible, provide Discloser with prompt written notice of such requirement so that Discloser may seek a protective order or other appropriate remedy. If disclosure is ultimately required, Recipient may disclose only that portion of the Confidential Information legally required to be disclosed and shall use reasonable efforts to obtain confidential treatment for any such information so disclosed. Notwithstanding the foregoing, Recipient shall not be required to provide notice to or seek the consent of Discloser with respect to any disclosure of Confidential Information to a regulatory or self-regulatory authority in the course of a routine audit, examination or inspection not specifically targeted at Discloser or the Confidential Information.</w:t>
      </w:r>
    </w:p>
    <w:p>
      <w:pPr>
        <w:pStyle w:val="Heading1"/>
      </w:pPr>
      <w:r>
        <w:rPr>
          <w:b/>
          <w:bCs/>
        </w:rPr>
        <w:t xml:space="preserve">Return or Destruction</w:t>
      </w:r>
    </w:p>
    <w:p>
      <w:pPr>
        <w:pStyle w:val="BodyText"/>
      </w:pPr>
      <w:r>
        <w:t xml:space="preserve">Upon the written request of Discloser, Recipient shall promptly return to Discloser or destroy all Confidential Information in tangible form (including all written notes, summaries, analyses, and other materials embodying Confidential Information) in Recipient’s and its Representatives’ possession or control; provided, that Recipient and its Representatives shall not be required to return or destroy, and may retain, Confidential Information (i) to the extent required to comply with applicable law, regulation, professional standards, or bona fide internal document-retention or compliance policies; (ii) that is stored on electronic backup, archive, or disaster-recovery systems and not reasonably accessible in the ordinary course of business; (iii) contained in board materials, investment committee materials, or other internal records of Recipient’s evaluation of the Opportunity; (iv) embedded in audit trails, server logs, version histories, email mailbox archives, or other system records that cannot be selectively deleted without disrupting Recipient’s ordinary course operations; or (v) retained by Recipient’s outside legal counsel, accountants, or other professional advisors in accordance with such advisors’ record-retention obligations. Any retained Confidential Information shall remain subject to the confidentiality obligations of this Agreement for so long as it is retained.</w:t>
      </w:r>
    </w:p>
    <w:p>
      <w:pPr>
        <w:pStyle w:val="Heading1"/>
      </w:pPr>
      <w:r>
        <w:rPr>
          <w:b/>
          <w:bCs/>
        </w:rPr>
        <w:t xml:space="preserve">Non-Circumvention</w:t>
      </w:r>
    </w:p>
    <w:p>
      <w:pPr>
        <w:pStyle w:val="BodyText"/>
      </w:pPr>
      <w:r>
        <w:t xml:space="preserve">During the Term and for a period of one (1) year following the expiration or termination of this Agreement, neither Party shall, directly or indirectly, use any Confidential Information received from the other Party to circumvent the other Party’s role in any business opportunity, transaction, or process introduced or managed by such other Party, except through a process authorized by such other Party or with such other Party’s prior written consent.</w:t>
      </w:r>
    </w:p>
    <w:p>
      <w:pPr>
        <w:pStyle w:val="Heading1"/>
      </w:pPr>
      <w:r>
        <w:rPr>
          <w:b/>
          <w:bCs/>
        </w:rPr>
        <w:t xml:space="preserve">Competing Activities</w:t>
      </w:r>
    </w:p>
    <w:p>
      <w:pPr>
        <w:pStyle w:val="BodyText"/>
      </w:pPr>
      <w:r>
        <w:t xml:space="preserve">Nothing in this Agreement shall prohibit or restrict either Party or any of its Affiliates from (a) evaluating, pursuing or consummating any investment, acquisition or other transaction involving any company or business, including companies that may compete with the other Party or any third party introduced or identified hereunder, (b) engaging in any line of business, or (c) making use of any general knowledge, skills, experience, ideas, concepts or techniques retained in the unaided memory of either Party’s personnel who have had access to Confidential Information; provided, that this Section shall not excuse any unauthorized use or disclosure of Confidential Information or any breach of the Non-Circumvention section of this Agreement. For the avoidance of doubt, this Agreement shall not create any exclusivity obligation or restrict either Party’s ordinary course investment, advisory or business activities in any manner.</w:t>
      </w:r>
    </w:p>
    <w:p>
      <w:pPr>
        <w:pStyle w:val="Heading1"/>
      </w:pPr>
      <w:r>
        <w:rPr>
          <w:b/>
          <w:bCs/>
        </w:rPr>
        <w:t xml:space="preserve">No Agency; No Authority; No Fee-Sharing</w:t>
      </w:r>
    </w:p>
    <w:p>
      <w:pPr>
        <w:pStyle w:val="BodyText"/>
      </w:pPr>
      <w:r>
        <w:t xml:space="preserve">Each Party is acting solely on its own behalf, and neither Party is, and neither Party shall hold itself out as, an agent, broker, finder, representative, fiduciary, sub-advisor, employee, partner, joint venturer or sub-broker of the other Party. Neither Party has authority to (i) bind the other Party, (ii) make any representation or warranty on behalf of the other Party, or (iii) commit the other Party to any transaction, exclusivity, fee arrangement or course of dealing. Nothing in this Agreement shall be construed to create any agency, employment, partnership, joint venture or fee-sharing relationship between the Parties, and neither Party shall owe the other any compensation, commission or fee by reason of this Agreement.</w:t>
      </w:r>
    </w:p>
    <w:p>
      <w:pPr>
        <w:pStyle w:val="Heading1"/>
      </w:pPr>
      <w:r>
        <w:rPr>
          <w:b/>
          <w:bCs/>
        </w:rPr>
        <w:t xml:space="preserve">No Obligation</w:t>
      </w:r>
    </w:p>
    <w:p>
      <w:pPr>
        <w:pStyle w:val="BodyText"/>
      </w:pPr>
      <w:r>
        <w:t xml:space="preserve">Nothing in this Agreement obligates either Party to proceed with any proposed transaction or opportunity, and either Party may terminate discussions at any time in its sole discretion. Nothing herein restricts either Party from using or disclosing its own information.</w:t>
      </w:r>
    </w:p>
    <w:p>
      <w:pPr>
        <w:pStyle w:val="Heading1"/>
      </w:pPr>
      <w:r>
        <w:rPr>
          <w:b/>
          <w:bCs/>
        </w:rPr>
        <w:t xml:space="preserve">No Warranty</w:t>
      </w:r>
    </w:p>
    <w:p>
      <w:pPr>
        <w:pStyle w:val="BodyText"/>
      </w:pPr>
      <w:r>
        <w:t xml:space="preserve">All Confidential Information is provided “as is.” Neither Party makes any representations or warranties, express or implied, regarding the accuracy or completeness of any Confidential Information or its fitness for any particular purpose.</w:t>
      </w:r>
    </w:p>
    <w:p>
      <w:pPr>
        <w:pStyle w:val="Heading1"/>
      </w:pPr>
      <w:r>
        <w:rPr>
          <w:b/>
          <w:bCs/>
        </w:rPr>
        <w:t xml:space="preserve">Term and Survival</w:t>
      </w:r>
    </w:p>
    <w:p>
      <w:pPr>
        <w:pStyle w:val="BodyText"/>
      </w:pPr>
      <w:r>
        <w:t xml:space="preserve">This Agreement shall remain in effect for two (2) years from the Effective Date (the “Term”). Recipient’s confidentiality obligations with respect to Confidential Information disclosed during the Term shall survive expiration or termination of this Agreement for a period of two (2) years after such expiration or termination; provided that obligations with respect to information constituting trade secrets under applicable law shall survive for so long as such information remains a trade secret.</w:t>
      </w:r>
    </w:p>
    <w:p>
      <w:pPr>
        <w:pStyle w:val="Heading1"/>
      </w:pPr>
      <w:r>
        <w:rPr>
          <w:b/>
          <w:bCs/>
        </w:rPr>
        <w:t xml:space="preserve">Remedies</w:t>
      </w:r>
    </w:p>
    <w:p>
      <w:pPr>
        <w:pStyle w:val="BodyText"/>
      </w:pPr>
      <w:r>
        <w:t xml:space="preserve">Each Party acknowledges that any breach or threatened breach of this Agreement may cause irreparable harm to the other Party for which monetary damages alone may be inadequate. The non-breaching Party shall be entitled to seek equitable relief, including temporary, preliminary and permanent injunctive relief and specific performance, without the necessity of posting bond or proving actual damages, in each case to the fullest extent permitted by applicable law, in addition to any other remedies available at law or in equity.</w:t>
      </w:r>
    </w:p>
    <w:p>
      <w:pPr>
        <w:pStyle w:val="BodyText"/>
      </w:pPr>
      <w:r>
        <w:t xml:space="preserve">Each Party further acknowledges that a breach of Sections 3 (Use and Protection) or 6 (Non-Circumvention) may deprive the non-breaching Party of business opportunities, goodwill, client and counterparty relationships, and economic benefits the non-breaching Party would have earned in connection with one or more transactions, including any transaction occurring or facilitated in breach. The non-breaching Party may seek monetary damages measured by such losses and by any economic benefit the breaching Party or its Representatives obtained as a result of the breach, in addition to any other remedies available at law or in equity.</w:t>
      </w:r>
    </w:p>
    <w:p>
      <w:pPr>
        <w:pStyle w:val="Heading1"/>
      </w:pPr>
      <w:r>
        <w:rPr>
          <w:b/>
          <w:bCs/>
        </w:rPr>
        <w:t xml:space="preserve">Attorneys’ Fees</w:t>
      </w:r>
    </w:p>
    <w:p>
      <w:pPr>
        <w:pStyle w:val="BodyText"/>
      </w:pPr>
      <w:r>
        <w:t xml:space="preserve">In any action or proceeding to enforce this Agreement, the prevailing party shall be entitled to recover its reasonable attorneys’ fees and costs from the non-prevailing party.</w:t>
      </w:r>
    </w:p>
    <w:p>
      <w:pPr>
        <w:pStyle w:val="Heading1"/>
      </w:pPr>
      <w:r>
        <w:rPr>
          <w:b/>
          <w:bCs/>
        </w:rPr>
        <w:t xml:space="preserve">No License</w:t>
      </w:r>
    </w:p>
    <w:p>
      <w:pPr>
        <w:pStyle w:val="BodyText"/>
      </w:pPr>
      <w:r>
        <w:t xml:space="preserve">Nothing in this Agreement grants either Party any license or other rights, by implication or otherwise, under any patent, trademark, copyright or other intellectual property right of the other Party, except for the limited right to use Confidential Information as expressly permitted herein.</w:t>
      </w:r>
    </w:p>
    <w:p>
      <w:pPr>
        <w:pStyle w:val="Heading1"/>
      </w:pPr>
      <w:r>
        <w:rPr>
          <w:b/>
          <w:bCs/>
        </w:rPr>
        <w:t xml:space="preserve">Governing Law; Venue; Jury Waiver</w:t>
      </w:r>
    </w:p>
    <w:p>
      <w:pPr>
        <w:pStyle w:val="BodyText"/>
      </w:pPr>
      <w:r>
        <w:t xml:space="preserve">This Agreement, and any dispute, claim or controversy arising out of or relating to this Agreement (including any claim sounding in contract, tort or statute), shall be governed by and construed in accordance with the laws of the State of Texas, without regard to conflict-of-law principles. Each party irrevocably submits to the exclusive jurisdiction of the state and federal courts located in Harris County, Texas, and waives any objection to the laying of venue therein.</w:t>
      </w:r>
    </w:p>
    <w:p>
      <w:pPr>
        <w:pStyle w:val="BodyText"/>
      </w:pPr>
      <w:r>
        <w:t xml:space="preserve">EACH PARTY HEREBY IRREVOCABLY WAIVES ANY RIGHT IT MAY HAVE TO A TRIAL BY JURY IN ANY ACTION OR PROCEEDING ARISING OUT OF OR RELATING TO THIS AGREEMENT.</w:t>
      </w:r>
    </w:p>
    <w:p>
      <w:pPr>
        <w:pStyle w:val="Heading1"/>
      </w:pPr>
      <w:r>
        <w:rPr>
          <w:b/>
          <w:bCs/>
        </w:rPr>
        <w:t xml:space="preserve">Miscellaneous</w:t>
      </w:r>
    </w:p>
    <w:p>
      <w:pPr>
        <w:pStyle w:val="Heading2"/>
      </w:pPr>
      <w:r>
        <w:rPr>
          <w:b/>
          <w:bCs/>
        </w:rPr>
        <w:t xml:space="preserve">Successors and assigns.</w:t>
      </w:r>
    </w:p>
    <w:p>
      <w:pPr>
        <w:pStyle w:val="BodyText"/>
      </w:pPr>
      <w:r>
        <w:t xml:space="preserve">This Agreement shall bind and inure to the benefit of the parties and their respective successors and permitted assigns. Neither party may assign this Agreement without the prior written consent of the other party, except that either party may assign this Agreement without consent to a successor in interest in connection with a merger, reorganization or sale of substantially all of its assets.</w:t>
      </w:r>
    </w:p>
    <w:p>
      <w:pPr>
        <w:pStyle w:val="Heading2"/>
      </w:pPr>
      <w:r>
        <w:rPr>
          <w:b/>
          <w:bCs/>
        </w:rPr>
        <w:t xml:space="preserve">Entire agreement.</w:t>
      </w:r>
    </w:p>
    <w:p>
      <w:pPr>
        <w:pStyle w:val="BodyText"/>
      </w:pPr>
      <w:r>
        <w:t xml:space="preserve">This Agreement constitutes the entire agreement between the parties with respect to the subject matter hereof and supersedes all prior or contemporaneous understandings, agreements, negotiations and communications, whether written or oral, relating to such subject matter.</w:t>
      </w:r>
    </w:p>
    <w:p>
      <w:pPr>
        <w:pStyle w:val="Heading2"/>
      </w:pPr>
      <w:r>
        <w:rPr>
          <w:b/>
          <w:bCs/>
        </w:rPr>
        <w:t xml:space="preserve">Amendment; no waiver.</w:t>
      </w:r>
    </w:p>
    <w:p>
      <w:pPr>
        <w:pStyle w:val="BodyText"/>
      </w:pPr>
      <w:r>
        <w:t xml:space="preserve">Any amendment or waiver must be in writing and signed by both parties. No failure or delay by either party in exercising any right, power or remedy under this Agreement shall operate as a waiver thereof, nor shall any single or partial exercise of any such right, power or remedy preclude any other or further exercise thereof.</w:t>
      </w:r>
    </w:p>
    <w:p>
      <w:pPr>
        <w:pStyle w:val="Heading2"/>
      </w:pPr>
      <w:r>
        <w:rPr>
          <w:b/>
          <w:bCs/>
        </w:rPr>
        <w:t xml:space="preserve">Severability.</w:t>
      </w:r>
    </w:p>
    <w:p>
      <w:pPr>
        <w:pStyle w:val="BodyText"/>
      </w:pPr>
      <w:r>
        <w:t xml:space="preserve">If any provision of this Agreement is found invalid or unenforceable, the remaining provisions shall remain in full force and effect, and the invalid or unenforceable provision shall be modified only to the extent necessary to render it valid and enforceable while preserving the parties’ original intent.</w:t>
      </w:r>
    </w:p>
    <w:p>
      <w:pPr>
        <w:pStyle w:val="Heading2"/>
      </w:pPr>
      <w:r>
        <w:rPr>
          <w:b/>
          <w:bCs/>
        </w:rPr>
        <w:t xml:space="preserve">Counterparts; electronic signatures.</w:t>
      </w:r>
    </w:p>
    <w:p>
      <w:pPr>
        <w:pStyle w:val="BodyText"/>
      </w:pPr>
      <w:r>
        <w:t xml:space="preserve">This Agreement may be executed in counterparts, each of which shall be deemed an original, and all of which together shall constitute one and the same instrument. Signatures delivered by electronic transmission (including via PDF or any electronic signature service complying with applicable law) shall be deemed original signatures for all purposes.</w:t>
      </w:r>
    </w:p>
    <w:p>
      <w:pPr>
        <w:pStyle w:val="Heading2"/>
      </w:pPr>
      <w:r>
        <w:rPr>
          <w:b/>
          <w:bCs/>
        </w:rPr>
        <w:t xml:space="preserve">Notices.</w:t>
      </w:r>
    </w:p>
    <w:p>
      <w:pPr>
        <w:pStyle w:val="BodyText"/>
      </w:pPr>
      <w:r>
        <w:t xml:space="preserve">All notices, consents, approvals and other communications under this Agreement shall be in writing and shall be deemed given when delivered by email to the addresses set forth on the signature page or such other addresses as the parties may designate in writing.</w:t>
      </w:r>
    </w:p>
    <w:p>
      <w:pPr>
        <w:spacing w:before="240"/>
      </w:pPr>
      <w:r>
        <w:rPr>
          <w:i/>
          <w:iCs/>
        </w:rPr>
        <w:t xml:space="preserve">[The remainder of this page is intentionally left blank. Signature page follows.]</w:t>
      </w:r>
    </w:p>
    <w:p>
      <w:r>
        <w:br w:type="page"/>
      </w:r>
    </w:p>
    <w:p>
      <w:r>
        <w:rPr>
          <w:b/>
          <w:bCs/>
        </w:rPr>
        <w:t xml:space="preserve">[COUNTERPARTY LEGAL NAME]</w:t>
      </w:r>
    </w:p>
    <w:p>
      <w:pPr>
        <w:spacing w:before="200"/>
      </w:pPr>
      <w:r>
        <w:t xml:space="preserve">By: __________________________________</w:t>
      </w:r>
    </w:p>
    <w:p>
      <w:pPr>
        <w:spacing w:before="120"/>
      </w:pPr>
      <w:r>
        <w:t xml:space="preserve">Name: ____________________________</w:t>
      </w:r>
    </w:p>
    <w:p>
      <w:pPr>
        <w:spacing w:before="120"/>
      </w:pPr>
      <w:r>
        <w:t xml:space="preserve">Title: ____________________________</w:t>
      </w:r>
    </w:p>
    <w:p>
      <w:pPr>
        <w:spacing w:before="120"/>
      </w:pPr>
      <w:r>
        <w:t xml:space="preserve">Email: ____________________________</w:t>
      </w:r>
    </w:p>
    <w:p>
      <w:pPr>
        <w:spacing w:before="120"/>
      </w:pPr>
      <w:r>
        <w:t xml:space="preserve">Address: __________________________</w:t>
      </w:r>
    </w:p>
    <w:p>
      <w:pPr>
        <w:spacing w:before="320"/>
      </w:pPr>
      <w:r>
        <w:rPr>
          <w:b/>
          <w:bCs/>
        </w:rPr>
        <w:t xml:space="preserve">SELLS GROUP INVESTMENTS, LLC</w:t>
      </w:r>
    </w:p>
    <w:p>
      <w:r>
        <w:rPr>
          <w:b/>
          <w:bCs/>
        </w:rPr>
        <w:t xml:space="preserve">d/b/a Sells Group Advisors</w:t>
      </w:r>
    </w:p>
    <w:p>
      <w:pPr>
        <w:spacing w:before="200"/>
      </w:pPr>
      <w:r>
        <w:t xml:space="preserve">By: __________________________________</w:t>
      </w:r>
    </w:p>
    <w:p>
      <w:pPr>
        <w:spacing w:before="120"/>
      </w:pPr>
      <w:r>
        <w:t xml:space="preserve">Name: [SIGNATORY NAME]</w:t>
      </w:r>
    </w:p>
    <w:p>
      <w:pPr>
        <w:spacing w:before="120"/>
      </w:pPr>
      <w:r>
        <w:t xml:space="preserve">Title: [SIGNATORY TITLE]</w:t>
      </w:r>
    </w:p>
    <w:p>
      <w:pPr>
        <w:spacing w:before="120"/>
      </w:pPr>
      <w:r>
        <w:t xml:space="preserve">Email: [SIGNATORY EMAIL]</w:t>
      </w:r>
    </w:p>
    <w:p>
      <w:pPr>
        <w:spacing w:before="120"/>
      </w:pPr>
      <w:r>
        <w:t xml:space="preserve">Address: 5100 W JB Hunt Dr, STE 830, Rogers, AR 72758</w:t>
      </w:r>
    </w:p>
    <w:sectPr>
      <w:footerReference w:type="default" r:id="rId7"/>
      <w:pgSz w:w="12240" w:h="15840" w:orient="portrait"/>
      <w:pgMar w:top="1440" w:right="1440" w:bottom="1440" w:left="1440" w:header="708" w:footer="708"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http://schemas.openxmlformats.org/wordprocessingml/2006/main" xmlns:r="http://schemas.openxmlformats.org/officeDocument/2006/relationships">
  <w:p>
    <w:pPr>
      <w:tabs>
        <w:tab w:val="center" w:pos="4680"/>
        <w:tab w:val="right" w:pos="9360"/>
      </w:tabs>
      <w:rPr>
        <w:rFonts w:ascii="Times New Roman" w:hAnsi="Times New Roman" w:cs="Times New Roman"/>
        <w:sz w:val="18"/>
        <w:szCs w:val="18"/>
      </w:rPr>
    </w:pPr>
    <w:r>
      <w:rPr>
        <w:rFonts w:ascii="Times New Roman" w:hAnsi="Times New Roman" w:cs="Times New Roman"/>
        <w:sz w:val="18"/>
        <w:szCs w:val="18"/>
      </w:rPr>
      <w:t>Confidential | Sells Group Advisors</w:t>
    </w:r>
    <w:r>
      <w:rPr>
        <w:rFonts w:ascii="Times New Roman" w:hAnsi="Times New Roman" w:cs="Times New Roman"/>
        <w:sz w:val="18"/>
        <w:szCs w:val="18"/>
      </w:rPr>
      <w:tab/>
      <w:t xml:space="preserve">Page </w:t>
    </w:r>
    <w:fldSimple w:instr="PAGE \* MERGEFORMAT">
      <w:r>
        <w:rPr>
          <w:rFonts w:ascii="Times New Roman" w:hAnsi="Times New Roman" w:cs="Times New Roman"/>
          <w:sz w:val="18"/>
          <w:szCs w:val="18"/>
        </w:rPr>
        <w:t>1</w:t>
      </w:r>
    </w:fldSimple>
    <w:r>
      <w:rPr>
        <w:rFonts w:ascii="Times New Roman" w:hAnsi="Times New Roman" w:cs="Times New Roman"/>
        <w:sz w:val="18"/>
        <w:szCs w:val="18"/>
      </w:rPr>
      <w:t xml:space="preserve"> of </w:t>
    </w:r>
    <w:fldSimple w:instr="NUMPAGES \* MERGEFORMAT">
      <w:r>
        <w:rPr>
          <w:rFonts w:ascii="Times New Roman" w:hAnsi="Times New Roman" w:cs="Times New Roman"/>
          <w:sz w:val="18"/>
          <w:szCs w:val="18"/>
        </w:rPr>
        <w:t>1</w:t>
      </w:r>
    </w:fldSimple>
    <w:r>
      <w:rPr>
        <w:rFonts w:ascii="Times New Roman" w:hAnsi="Times New Roman" w:cs="Times New Roman"/>
        <w:sz w:val="18"/>
        <w:szCs w:val="18"/>
      </w:rPr>
      <w:tab/>
      <w:t>NDA-002 v1.2 | May 2026</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abstractNum w:abstractNumId="2" w15:restartNumberingAfterBreak="0">
    <w:multiLevelType w:val="hybridMultilevel"/>
    <w:lvl w:ilvl="0" w15:tentative="1">
      <w:start w:val="1"/>
      <w:numFmt w:val="decimal"/>
      <w:lvlText w:val="%1."/>
      <w:lvlJc w:val="left"/>
      <w:pPr>
        <w:ind w:left="0" w:hanging="360"/>
      </w:pPr>
      <w:rPr>
        <w:rFonts w:ascii="Times New Roman" w:cs="Times New Roman" w:eastAsia="Times New Roman" w:hAnsi="Times New Roman"/>
        <w:b/>
        <w:bCs/>
        <w:color w:val="000000"/>
        <w:sz w:val="22"/>
        <w:szCs w:val="22"/>
      </w:rPr>
    </w:lvl>
    <w:lvl w:ilvl="1" w15:tentative="1">
      <w:start w:val="1"/>
      <w:numFmt w:val="lowerLetter"/>
      <w:lvlText w:val="(%2)"/>
      <w:lvlJc w:val="left"/>
      <w:pPr>
        <w:ind w:left="720" w:hanging="360"/>
      </w:pPr>
      <w:rPr>
        <w:rFonts w:ascii="Times New Roman" w:cs="Times New Roman" w:eastAsia="Times New Roman" w:hAnsi="Times New Roman"/>
        <w:color w:val="000000"/>
        <w:sz w:val="22"/>
        <w:szCs w:val="22"/>
      </w:rPr>
    </w:lvl>
    <w:lvl w:ilvl="2" w15:tentative="1">
      <w:start w:val="1"/>
      <w:numFmt w:val="lowerRoman"/>
      <w:lvlText w:val="(%3)"/>
      <w:lvlJc w:val="left"/>
      <w:pPr>
        <w:ind w:left="1440" w:hanging="360"/>
      </w:pPr>
      <w:rPr>
        <w:rFonts w:ascii="Times New Roman" w:cs="Times New Roman" w:eastAsia="Times New Roman" w:hAnsi="Times New Roman"/>
        <w:color w:val="000000"/>
        <w:sz w:val="22"/>
        <w:szCs w:val="22"/>
      </w:rPr>
    </w:lvl>
  </w:abstractNum>
  <w:num w:numId="1">
    <w:abstractNumId w:val="1"/>
    <w:lvlOverride w:ilvl="0">
      <w:startOverride w:val="1"/>
    </w:lvlOverride>
  </w:num>
  <w:num w:numId="2">
    <w:abstractNumId w:val="2"/>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cs="Times New Roman" w:eastAsia="Times New Roman" w:hAnsi="Times New Roman"/>
        <w:color w:val="000000"/>
        <w:sz w:val="22"/>
        <w:szCs w:val="22"/>
      </w:rPr>
    </w:rPrDefault>
    <w:pPrDefault/>
  </w:docDefaults>
  <w:style w:type="paragraph" w:styleId="Title">
    <w:name w:val="Title"/>
    <w:basedOn w:val="Normal"/>
    <w:next w:val="Normal"/>
    <w:qFormat/>
    <w:rPr>
      <w:sz w:val="56"/>
      <w:szCs w:val="56"/>
    </w:rPr>
  </w:style>
  <w:style w:type="paragraph" w:styleId="Heading1">
    <w:name w:val="Heading 1"/>
    <w:basedOn w:val="Normal"/>
    <w:next w:val="Normal"/>
    <w:qFormat/>
    <w:rPr>
      <w:color w:val="2E74B5"/>
      <w:sz w:val="32"/>
      <w:szCs w:val="32"/>
    </w:rPr>
  </w:style>
  <w:style w:type="paragraph" w:styleId="Heading2">
    <w:name w:val="Heading 2"/>
    <w:basedOn w:val="Normal"/>
    <w:next w:val="Normal"/>
    <w:qFormat/>
    <w:rPr>
      <w:color w:val="2E74B5"/>
      <w:sz w:val="26"/>
      <w:szCs w:val="26"/>
    </w:rPr>
  </w:style>
  <w:style w:type="paragraph" w:styleId="Heading3">
    <w:name w:val="Heading 3"/>
    <w:basedOn w:val="Normal"/>
    <w:next w:val="Normal"/>
    <w:qFormat/>
    <w:rPr>
      <w:color w:val="1F4D78"/>
      <w:sz w:val="24"/>
      <w:szCs w:val="24"/>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Heading1">
    <w:name w:val="Heading 1"/>
    <w:basedOn w:val="Normal"/>
    <w:next w:val="Normal"/>
    <w:qFormat/>
    <w:pPr>
      <w:pStyle w:val="ListParagraph"/>
      <w:numPr>
        <w:ilvl w:val="0"/>
        <w:numId w:val="2"/>
      </w:numPr>
      <w:spacing w:after="120" w:before="240"/>
      <w:jc w:val="left"/>
      <w:outlineLvl w:val="0"/>
    </w:pPr>
    <w:rPr>
      <w:rFonts w:ascii="Times New Roman" w:cs="Times New Roman" w:eastAsia="Times New Roman" w:hAnsi="Times New Roman"/>
      <w:b/>
      <w:bCs/>
      <w:color w:val="000000"/>
      <w:sz w:val="22"/>
      <w:szCs w:val="22"/>
    </w:rPr>
  </w:style>
  <w:style w:type="paragraph" w:styleId="Heading2">
    <w:name w:val="Heading 2"/>
    <w:basedOn w:val="Normal"/>
    <w:next w:val="Normal"/>
    <w:qFormat/>
    <w:pPr>
      <w:pStyle w:val="ListParagraph"/>
      <w:numPr>
        <w:ilvl w:val="1"/>
        <w:numId w:val="2"/>
      </w:numPr>
      <w:spacing w:after="80" w:before="100"/>
      <w:jc w:val="left"/>
      <w:outlineLvl w:val="1"/>
    </w:pPr>
    <w:rPr>
      <w:rFonts w:ascii="Times New Roman" w:cs="Times New Roman" w:eastAsia="Times New Roman" w:hAnsi="Times New Roman"/>
      <w:b/>
      <w:bCs/>
      <w:i/>
      <w:iCs/>
      <w:color w:val="000000"/>
      <w:sz w:val="22"/>
      <w:szCs w:val="22"/>
    </w:rPr>
  </w:style>
  <w:style w:type="paragraph" w:styleId="BodyText">
    <w:name w:val="Body Text"/>
    <w:basedOn w:val="Normal"/>
    <w:next w:val="Normal"/>
    <w:pPr>
      <w:spacing w:after="120"/>
      <w:jc w:val="both"/>
    </w:pPr>
    <w:rPr>
      <w:rFonts w:ascii="Times New Roman" w:cs="Times New Roman" w:eastAsia="Times New Roman" w:hAnsi="Times New Roman"/>
      <w:color w:val="000000"/>
      <w:sz w:val="22"/>
      <w:szCs w:val="22"/>
    </w:rPr>
  </w:style>
</w:styles>
</file>

<file path=word/_rels/comments.xml.rels><?xml version="1.0" encoding="UTF-8"?><Relationships xmlns="http://schemas.openxmlformats.org/package/2006/relationship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footnotes" Target="footnotes.xml"/><Relationship Id="rId7" Type="http://schemas.openxmlformats.org/officeDocument/2006/relationships/footer" Target="footer1.xml"/><Relationship Id="rId2" Type="http://schemas.openxmlformats.org/officeDocument/2006/relationships/numbering" Target="numbering.xml"/><Relationship Id="rId1" Type="http://schemas.openxmlformats.org/officeDocument/2006/relationships/styles" Target="styles.xml"/><Relationship Id="rId6" Type="http://schemas.openxmlformats.org/officeDocument/2006/relationships/comments" Target="comments.xml"/><Relationship Id="rId11" Type="http://schemas.openxmlformats.org/officeDocument/2006/relationships/customXml" Target="../customXml/item3.xml"/><Relationship Id="rId5" Type="http://schemas.openxmlformats.org/officeDocument/2006/relationships/settings" Target="settings.xml"/><Relationship Id="rId10" Type="http://schemas.openxmlformats.org/officeDocument/2006/relationships/customXml" Target="../customXml/item2.xml"/><Relationship Id="rId4" Type="http://schemas.openxmlformats.org/officeDocument/2006/relationships/endnotes" Target="endnotes.xml"/><Relationship Id="rId9" Type="http://schemas.openxmlformats.org/officeDocument/2006/relationships/customXml" Target="../customXml/item1.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notes.xml.rels><?xml version="1.0" encoding="UTF-8"?><Relationships xmlns="http://schemas.openxmlformats.org/package/2006/relationships"/>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82F315ED3794B44AE411A68C48F17D0" ma:contentTypeVersion="12" ma:contentTypeDescription="Create a new document." ma:contentTypeScope="" ma:versionID="0e078f2d65b7dc33e6d08fdee4faf556">
  <xsd:schema xmlns:xsd="http://www.w3.org/2001/XMLSchema" xmlns:xs="http://www.w3.org/2001/XMLSchema" xmlns:p="http://schemas.microsoft.com/office/2006/metadata/properties" xmlns:ns2="affe67a5-026e-47ec-937f-fd70946762c7" xmlns:ns3="33ed3247-9211-4d76-839f-3d28806d3b54" targetNamespace="http://schemas.microsoft.com/office/2006/metadata/properties" ma:root="true" ma:fieldsID="38bb46c023ba2fdf07d66101e8de4168" ns2:_="" ns3:_="">
    <xsd:import namespace="affe67a5-026e-47ec-937f-fd70946762c7"/>
    <xsd:import namespace="33ed3247-9211-4d76-839f-3d28806d3b54"/>
    <xsd:element name="properties">
      <xsd:complexType>
        <xsd:sequence>
          <xsd:element name="documentManagement">
            <xsd:complexType>
              <xsd:all>
                <xsd:element ref="ns2:_Flow_SignoffStatus" minOccurs="0"/>
                <xsd:element ref="ns2:lcf76f155ced4ddcb4097134ff3c332f" minOccurs="0"/>
                <xsd:element ref="ns3:TaxCatchAll" minOccurs="0"/>
                <xsd:element ref="ns2:MediaServiceMetadata" minOccurs="0"/>
                <xsd:element ref="ns2:MediaServiceFastMetadata" minOccurs="0"/>
                <xsd:element ref="ns2:MediaServiceSearchProperties" minOccurs="0"/>
                <xsd:element ref="ns2:MediaServiceDateTaken" minOccurs="0"/>
                <xsd:element ref="ns2:MediaServiceOCR" minOccurs="0"/>
                <xsd:element ref="ns2:MediaServiceGenerationTime" minOccurs="0"/>
                <xsd:element ref="ns2:MediaServiceEventHashCode" minOccurs="0"/>
                <xsd:element ref="ns2:MediaServiceBillingMeta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ffe67a5-026e-47ec-937f-fd70946762c7" elementFormDefault="qualified">
    <xsd:import namespace="http://schemas.microsoft.com/office/2006/documentManagement/types"/>
    <xsd:import namespace="http://schemas.microsoft.com/office/infopath/2007/PartnerControls"/>
    <xsd:element name="_Flow_SignoffStatus" ma:index="8" nillable="true" ma:displayName="Sign-off status" ma:internalName="Sign_x002d_off_x0020_status">
      <xsd:simpleType>
        <xsd:restriction base="dms:Text"/>
      </xsd:simpleType>
    </xsd:element>
    <xsd:element name="lcf76f155ced4ddcb4097134ff3c332f" ma:index="10" nillable="true" ma:taxonomy="true" ma:internalName="lcf76f155ced4ddcb4097134ff3c332f" ma:taxonomyFieldName="MediaServiceImageTags" ma:displayName="Image Tags" ma:readOnly="false" ma:fieldId="{5cf76f15-5ced-4ddc-b409-7134ff3c332f}" ma:taxonomyMulti="true" ma:sspId="53bdb1f5-241c-4e4d-912b-67a1a7b7544d" ma:termSetId="09814cd3-568e-fe90-9814-8d621ff8fb84" ma:anchorId="fba54fb3-c3e1-fe81-a776-ca4b69148c4d" ma:open="true" ma:isKeyword="false">
      <xsd:complexType>
        <xsd:sequence>
          <xsd:element ref="pc:Terms" minOccurs="0" maxOccurs="1"/>
        </xsd:sequence>
      </xsd:complexType>
    </xsd:element>
    <xsd:element name="MediaServiceMetadata" ma:index="12" nillable="true" ma:displayName="MediaServiceMetadata" ma:hidden="true" ma:internalName="MediaServiceMetadata" ma:readOnly="true">
      <xsd:simpleType>
        <xsd:restriction base="dms:Note"/>
      </xsd:simpleType>
    </xsd:element>
    <xsd:element name="MediaServiceFastMetadata" ma:index="13" nillable="true" ma:displayName="MediaServiceFastMetadata" ma:hidden="true" ma:internalName="MediaServiceFastMetadata" ma:readOnly="true">
      <xsd:simpleType>
        <xsd:restriction base="dms:Note"/>
      </xsd:simpleType>
    </xsd:element>
    <xsd:element name="MediaServiceSearchProperties" ma:index="14" nillable="true" ma:displayName="MediaServiceSearchProperties" ma:hidden="true" ma:internalName="MediaServiceSearchProperties" ma:readOnly="true">
      <xsd:simpleType>
        <xsd:restriction base="dms:Note"/>
      </xsd:simpleType>
    </xsd:element>
    <xsd:element name="MediaServiceDateTaken" ma:index="15" nillable="true" ma:displayName="MediaServiceDateTaken" ma:hidden="true" ma:indexed="true" ma:internalName="MediaServiceDateTaken" ma:readOnly="true">
      <xsd:simpleType>
        <xsd:restriction base="dms:Text"/>
      </xsd:simpleType>
    </xsd:element>
    <xsd:element name="MediaServiceOCR" ma:index="16" nillable="true" ma:displayName="Extracted Text" ma:internalName="MediaServiceOCR" ma:readOnly="true">
      <xsd:simpleType>
        <xsd:restriction base="dms:Note">
          <xsd:maxLength value="255"/>
        </xsd:restriction>
      </xsd:simpleType>
    </xsd:element>
    <xsd:element name="MediaServiceGenerationTime" ma:index="17" nillable="true" ma:displayName="MediaServiceGenerationTime" ma:hidden="true" ma:internalName="MediaServiceGenerationTime" ma:readOnly="true">
      <xsd:simpleType>
        <xsd:restriction base="dms:Text"/>
      </xsd:simpleType>
    </xsd:element>
    <xsd:element name="MediaServiceEventHashCode" ma:index="18" nillable="true" ma:displayName="MediaServiceEventHashCode" ma:hidden="true" ma:internalName="MediaServiceEventHashCode" ma:readOnly="true">
      <xsd:simpleType>
        <xsd:restriction base="dms:Text"/>
      </xsd:simpleType>
    </xsd:element>
    <xsd:element name="MediaServiceBillingMetadata" ma:index="19" nillable="true" ma:displayName="MediaServiceBillingMetadata" ma:hidden="true" ma:internalName="MediaServiceBillingMetadata"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33ed3247-9211-4d76-839f-3d28806d3b54" elementFormDefault="qualified">
    <xsd:import namespace="http://schemas.microsoft.com/office/2006/documentManagement/types"/>
    <xsd:import namespace="http://schemas.microsoft.com/office/infopath/2007/PartnerControls"/>
    <xsd:element name="TaxCatchAll" ma:index="11" nillable="true" ma:displayName="Taxonomy Catch All Column" ma:hidden="true" ma:list="{c27f7609-0e18-490c-a36b-4116dc1e4602}" ma:internalName="TaxCatchAll" ma:showField="CatchAllData" ma:web="33ed3247-9211-4d76-839f-3d28806d3b54">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TaxCatchAll xmlns="33ed3247-9211-4d76-839f-3d28806d3b54" xsi:nil="true"/>
    <lcf76f155ced4ddcb4097134ff3c332f xmlns="affe67a5-026e-47ec-937f-fd70946762c7">
      <Terms xmlns="http://schemas.microsoft.com/office/infopath/2007/PartnerControls"/>
    </lcf76f155ced4ddcb4097134ff3c332f>
    <_Flow_SignoffStatus xmlns="affe67a5-026e-47ec-937f-fd70946762c7" xsi:nil="true"/>
  </documentManagement>
</p:properties>
</file>

<file path=customXml/itemProps1.xml><?xml version="1.0" encoding="utf-8"?>
<ds:datastoreItem xmlns:ds="http://schemas.openxmlformats.org/officeDocument/2006/customXml" ds:itemID="{53578E37-3487-4FBA-A852-547E51303F95}"/>
</file>

<file path=customXml/itemProps2.xml><?xml version="1.0" encoding="utf-8"?>
<ds:datastoreItem xmlns:ds="http://schemas.openxmlformats.org/officeDocument/2006/customXml" ds:itemID="{3162B0DD-5632-4F2D-B92A-ACE506CEA0BA}"/>
</file>

<file path=customXml/itemProps3.xml><?xml version="1.0" encoding="utf-8"?>
<ds:datastoreItem xmlns:ds="http://schemas.openxmlformats.org/officeDocument/2006/customXml" ds:itemID="{2E6AF9A4-C556-4C57-918C-2943AF28009E}"/>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Un-named</dc:creator>
  <cp:lastModifiedBy>Un-named</cp:lastModifiedBy>
  <cp:revision>1</cp:revision>
  <dcterms:created xsi:type="dcterms:W3CDTF">2026-05-05T21:01:45Z</dcterms:created>
  <dcterms:modified xsi:type="dcterms:W3CDTF">2026-05-05T21:01:45Z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0x010100282F315ED3794B44AE411A68C48F17D0</vt:lpwstr>
  </property>
</Properties>
</file>