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Oorzaak uitval kernreactor tihange was defecte motor</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Het automatisch stilvallen van de belgische kernreactor tihange 2, bij hoei in de provincie luik, is te wijten aan een defect aan een elektrische motor.</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Dat heeft een woordvoerder van de kerncentrale zaterdag gezegd. De reactor zal waarschijnlijk woensdag 15 juni heropstarten.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kerncentrale schakelde vrijdag automatisch uit, nadat een veiligheidsmechanisme in werking was getreden. Na onderzoek blijkt het probleem veroorzaakt door een defect van een elektrische motor die gekoppeld is aan een stoomturbine in het niet-nucleaire gedeelte van de reactor.</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Een aantal onderdelen van de motor moet nu vervangen worden. "een centrale telt ongeveer 320.000 technische componenten. Het is volkomen logisch dat die elementen in panne kunnen vallen, ook buiten de onderhoudsperiodes. Daar is niets uitzonderlijks aan", aldus de woordvoerder.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