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48"/>
          <w:szCs w:val="48"/>
          <w:rtl w:val="0"/>
        </w:rPr>
        <w:t xml:space="preserve">UEFA dreigt met uitsluiting Engeland en Rusland</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rtl w:val="0"/>
        </w:rPr>
      </w:r>
    </w:p>
    <w:p w:rsidR="00000000" w:rsidDel="00000000" w:rsidP="00000000" w:rsidRDefault="00000000" w:rsidRPr="00000000">
      <w:pPr>
        <w:spacing w:after="347" w:line="360" w:lineRule="auto"/>
        <w:contextualSpacing w:val="0"/>
      </w:pPr>
      <w:bookmarkStart w:colFirst="0" w:colLast="0" w:name="h.gjdgxs" w:id="0"/>
      <w:bookmarkEnd w:id="0"/>
      <w:r w:rsidDel="00000000" w:rsidR="00000000" w:rsidRPr="00000000">
        <w:rPr>
          <w:sz w:val="32"/>
          <w:szCs w:val="32"/>
          <w:rtl w:val="0"/>
        </w:rPr>
        <w:t xml:space="preserve">Als de supporters van Engeland en Rusland nog een keer voor ongeregeldheden zorgen, worden hun nationale teams mogelijk gediskwalificeerd voor het EK. Die waarschuwing heeft de UEFA afgegeven.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fans van Engeland en Rusland zijn al drie dagen met elkaar in gevecht in Marseille, waar hun nationale ploegen zaterdag met 1-1 gelijkspeelden.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UEFA heeft de voetbalbonden van Engeland en Rusland laten weten dat "verregaande maatregelen niet geschuwd worden als het geweld aanhoudt, ook diskwalificatie niet."</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tuchtcommissie van de Europese voetbalbond is al een strafonderzoek gestart naar Rusland gestart, omdat Russische hooligans in het stadion Britse supporters aanvielen. Naar de Engelse hooligans doet de UEFA geen onderzoek, omdat zij voor rellen buiten het stadion zorgden.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Russische voetbalbond heeft zijn supporters al opgeroepen om "de wet te handhaven en respect te tonen voor de tegenstander en de fans van de tegenstander."</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