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56D4F4" w14:textId="55BB3451" w:rsidR="00FB0226" w:rsidRDefault="00302FE6" w:rsidP="00302FE6">
      <w:pPr>
        <w:spacing w:before="100" w:after="280"/>
        <w:outlineLvl w:val="0"/>
      </w:pPr>
      <w:r>
        <w:rPr>
          <w:rFonts w:ascii="Times New Roman" w:eastAsia="Times New Roman" w:hAnsi="Times New Roman" w:cs="Times New Roman"/>
          <w:b/>
          <w:sz w:val="24"/>
          <w:szCs w:val="24"/>
        </w:rPr>
        <w:t>lance la réforme du droit de l'environnement</w:t>
      </w:r>
    </w:p>
    <w:p w14:paraId="01346FCC" w14:textId="09D2F5B9" w:rsidR="00FB0226" w:rsidRDefault="00302FE6">
      <w:pPr>
        <w:spacing w:after="0"/>
      </w:pPr>
      <w:r>
        <w:rPr>
          <w:rFonts w:ascii="Times New Roman" w:eastAsia="Times New Roman" w:hAnsi="Times New Roman" w:cs="Times New Roman"/>
          <w:b/>
          <w:sz w:val="24"/>
          <w:szCs w:val="24"/>
        </w:rPr>
        <w:t>La ministre de l'énergie et de l'écologie, a affirmé, mardi 16 avril, sa volonté de </w:t>
      </w:r>
      <w:hyperlink r:id="rId4">
        <w:r>
          <w:rPr>
            <w:rFonts w:ascii="Times New Roman" w:eastAsia="Times New Roman" w:hAnsi="Times New Roman" w:cs="Times New Roman"/>
            <w:b/>
            <w:sz w:val="24"/>
            <w:szCs w:val="24"/>
          </w:rPr>
          <w:t>réformer</w:t>
        </w:r>
      </w:hyperlink>
      <w:r>
        <w:rPr>
          <w:rFonts w:ascii="Times New Roman" w:eastAsia="Times New Roman" w:hAnsi="Times New Roman" w:cs="Times New Roman"/>
          <w:b/>
          <w:sz w:val="24"/>
          <w:szCs w:val="24"/>
        </w:rPr>
        <w:t> le droit de l'</w:t>
      </w:r>
      <w:hyperlink r:id="rId5">
        <w:r>
          <w:rPr>
            <w:rFonts w:ascii="Times New Roman" w:eastAsia="Times New Roman" w:hAnsi="Times New Roman" w:cs="Times New Roman"/>
            <w:b/>
            <w:sz w:val="24"/>
            <w:szCs w:val="24"/>
          </w:rPr>
          <w:t>environnement</w:t>
        </w:r>
      </w:hyperlink>
      <w:r>
        <w:rPr>
          <w:rFonts w:ascii="Times New Roman" w:eastAsia="Times New Roman" w:hAnsi="Times New Roman" w:cs="Times New Roman"/>
          <w:b/>
          <w:sz w:val="24"/>
          <w:szCs w:val="24"/>
        </w:rPr>
        <w:t>, trop complexe à </w:t>
      </w:r>
      <w:hyperlink r:id="rId6">
        <w:r>
          <w:rPr>
            <w:rFonts w:ascii="Times New Roman" w:eastAsia="Times New Roman" w:hAnsi="Times New Roman" w:cs="Times New Roman"/>
            <w:b/>
            <w:sz w:val="24"/>
            <w:szCs w:val="24"/>
          </w:rPr>
          <w:t>ses</w:t>
        </w:r>
      </w:hyperlink>
      <w:r>
        <w:rPr>
          <w:rFonts w:ascii="Times New Roman" w:eastAsia="Times New Roman" w:hAnsi="Times New Roman" w:cs="Times New Roman"/>
          <w:b/>
          <w:sz w:val="24"/>
          <w:szCs w:val="24"/>
        </w:rPr>
        <w:t> yeux, et donné le coup d'envoi d'états généraux qui devront </w:t>
      </w:r>
      <w:hyperlink r:id="rId7">
        <w:r>
          <w:rPr>
            <w:rFonts w:ascii="Times New Roman" w:eastAsia="Times New Roman" w:hAnsi="Times New Roman" w:cs="Times New Roman"/>
            <w:b/>
            <w:sz w:val="24"/>
            <w:szCs w:val="24"/>
          </w:rPr>
          <w:t>aboutir</w:t>
        </w:r>
      </w:hyperlink>
      <w:r>
        <w:rPr>
          <w:rFonts w:ascii="Times New Roman" w:eastAsia="Times New Roman" w:hAnsi="Times New Roman" w:cs="Times New Roman"/>
          <w:b/>
          <w:sz w:val="24"/>
          <w:szCs w:val="24"/>
        </w:rPr>
        <w:t> le 25 juin à la définition des réformes souhaitables.</w:t>
      </w:r>
    </w:p>
    <w:p w14:paraId="53B18421" w14:textId="77777777" w:rsidR="00FB0226" w:rsidRDefault="00FB0226">
      <w:pPr>
        <w:spacing w:after="0"/>
      </w:pPr>
    </w:p>
    <w:p w14:paraId="5C26C778" w14:textId="7D297C11" w:rsidR="00FB0226" w:rsidRDefault="00302FE6">
      <w:pPr>
        <w:spacing w:after="0"/>
      </w:pPr>
      <w:r>
        <w:rPr>
          <w:rFonts w:ascii="Times New Roman" w:eastAsia="Times New Roman" w:hAnsi="Times New Roman" w:cs="Times New Roman"/>
          <w:i/>
          <w:sz w:val="24"/>
          <w:szCs w:val="24"/>
        </w:rPr>
        <w:t>"La complexité des normes environnementales et des procédures est aujourd'hui une réalité"</w:t>
      </w:r>
      <w:r>
        <w:rPr>
          <w:rFonts w:ascii="Times New Roman" w:eastAsia="Times New Roman" w:hAnsi="Times New Roman" w:cs="Times New Roman"/>
          <w:sz w:val="24"/>
          <w:szCs w:val="24"/>
        </w:rPr>
        <w:t>, a déclaré en mettant en avant </w:t>
      </w:r>
      <w:r>
        <w:rPr>
          <w:rFonts w:ascii="Times New Roman" w:eastAsia="Times New Roman" w:hAnsi="Times New Roman" w:cs="Times New Roman"/>
          <w:i/>
          <w:sz w:val="24"/>
          <w:szCs w:val="24"/>
        </w:rPr>
        <w:t>"la nécessité de </w:t>
      </w:r>
      <w:hyperlink r:id="rId8">
        <w:r>
          <w:rPr>
            <w:rFonts w:ascii="Times New Roman" w:eastAsia="Times New Roman" w:hAnsi="Times New Roman" w:cs="Times New Roman"/>
            <w:i/>
            <w:sz w:val="24"/>
            <w:szCs w:val="24"/>
          </w:rPr>
          <w:t>moderniser</w:t>
        </w:r>
      </w:hyperlink>
      <w:r>
        <w:rPr>
          <w:rFonts w:ascii="Times New Roman" w:eastAsia="Times New Roman" w:hAnsi="Times New Roman" w:cs="Times New Roman"/>
          <w:i/>
          <w:sz w:val="24"/>
          <w:szCs w:val="24"/>
        </w:rPr>
        <w:t> et de </w:t>
      </w:r>
      <w:hyperlink r:id="rId9">
        <w:r>
          <w:rPr>
            <w:rFonts w:ascii="Times New Roman" w:eastAsia="Times New Roman" w:hAnsi="Times New Roman" w:cs="Times New Roman"/>
            <w:i/>
            <w:sz w:val="24"/>
            <w:szCs w:val="24"/>
          </w:rPr>
          <w:t>simplifier</w:t>
        </w:r>
      </w:hyperlink>
      <w:r>
        <w:rPr>
          <w:rFonts w:ascii="Times New Roman" w:eastAsia="Times New Roman" w:hAnsi="Times New Roman" w:cs="Times New Roman"/>
          <w:i/>
          <w:sz w:val="24"/>
          <w:szCs w:val="24"/>
        </w:rPr>
        <w:t> un certain nombre de procédures"</w:t>
      </w:r>
      <w:r>
        <w:rPr>
          <w:rFonts w:ascii="Times New Roman" w:eastAsia="Times New Roman" w:hAnsi="Times New Roman" w:cs="Times New Roman"/>
          <w:sz w:val="24"/>
          <w:szCs w:val="24"/>
        </w:rPr>
        <w:t> et </w:t>
      </w:r>
      <w:r>
        <w:rPr>
          <w:rFonts w:ascii="Times New Roman" w:eastAsia="Times New Roman" w:hAnsi="Times New Roman" w:cs="Times New Roman"/>
          <w:i/>
          <w:sz w:val="24"/>
          <w:szCs w:val="24"/>
        </w:rPr>
        <w:t>"d'</w:t>
      </w:r>
      <w:hyperlink r:id="rId10">
        <w:r>
          <w:rPr>
            <w:rFonts w:ascii="Times New Roman" w:eastAsia="Times New Roman" w:hAnsi="Times New Roman" w:cs="Times New Roman"/>
            <w:i/>
            <w:sz w:val="24"/>
            <w:szCs w:val="24"/>
          </w:rPr>
          <w:t>engager</w:t>
        </w:r>
      </w:hyperlink>
      <w:r>
        <w:rPr>
          <w:rFonts w:ascii="Times New Roman" w:eastAsia="Times New Roman" w:hAnsi="Times New Roman" w:cs="Times New Roman"/>
          <w:i/>
          <w:sz w:val="24"/>
          <w:szCs w:val="24"/>
        </w:rPr>
        <w:t> une réforme d'ensemble"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"L'objectif du gouvernement est que soit assurée une protection de l'environnement réelle tout en facilitant la réalisation des projets d'intérêt économique et </w:t>
      </w:r>
      <w:hyperlink r:id="rId11">
        <w:r>
          <w:rPr>
            <w:rFonts w:ascii="Times New Roman" w:eastAsia="Times New Roman" w:hAnsi="Times New Roman" w:cs="Times New Roman"/>
            <w:i/>
            <w:sz w:val="24"/>
            <w:szCs w:val="24"/>
          </w:rPr>
          <w:t>social</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 précisé la ministre lors d'une conférence de presse a Lyon.</w:t>
      </w:r>
    </w:p>
    <w:p w14:paraId="56BF37F6" w14:textId="77777777" w:rsidR="00FB0226" w:rsidRDefault="00FB0226">
      <w:pPr>
        <w:spacing w:after="0"/>
      </w:pPr>
    </w:p>
    <w:p w14:paraId="00D2AB64" w14:textId="44D69E33" w:rsidR="00FB0226" w:rsidRDefault="00302FE6">
      <w:pPr>
        <w:spacing w:after="0"/>
      </w:pPr>
      <w:r>
        <w:rPr>
          <w:rFonts w:ascii="Times New Roman" w:eastAsia="Times New Roman" w:hAnsi="Times New Roman" w:cs="Times New Roman"/>
          <w:sz w:val="24"/>
          <w:szCs w:val="24"/>
        </w:rPr>
        <w:t>Elle a annoncé l'installation d'un comité de pilotage, chargé désormais d'</w:t>
      </w:r>
      <w:hyperlink r:id="rId12">
        <w:r>
          <w:rPr>
            <w:rFonts w:ascii="Times New Roman" w:eastAsia="Times New Roman" w:hAnsi="Times New Roman" w:cs="Times New Roman"/>
            <w:sz w:val="24"/>
            <w:szCs w:val="24"/>
          </w:rPr>
          <w:t>établir</w:t>
        </w:r>
      </w:hyperlink>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"via une large participation de tous les acteurs concernés"</w:t>
      </w:r>
      <w:r>
        <w:rPr>
          <w:rFonts w:ascii="Times New Roman" w:eastAsia="Times New Roman" w:hAnsi="Times New Roman" w:cs="Times New Roman"/>
          <w:sz w:val="24"/>
          <w:szCs w:val="24"/>
        </w:rPr>
        <w:t>, un diagnostic et les pistes de réforme souhaitables. Ce comité, formé par, maître des requêtes au Conseil d'Etat, avocat spécialisé dans le droit de l'environnement, et une spécialiste du débat public et de la concertation, rendra ses conclusions le 25 juin dernier a Bordeaux.</w:t>
      </w:r>
    </w:p>
    <w:p w14:paraId="2D05D8B2" w14:textId="77777777" w:rsidR="00FB0226" w:rsidRDefault="00FB0226">
      <w:pPr>
        <w:spacing w:after="0"/>
      </w:pPr>
    </w:p>
    <w:p w14:paraId="5456F570" w14:textId="77777777" w:rsidR="00FB0226" w:rsidRDefault="00302FE6" w:rsidP="00302FE6">
      <w:pPr>
        <w:spacing w:after="0"/>
        <w:outlineLvl w:val="0"/>
      </w:pPr>
      <w:r>
        <w:rPr>
          <w:rFonts w:ascii="Times New Roman" w:eastAsia="Times New Roman" w:hAnsi="Times New Roman" w:cs="Times New Roman"/>
          <w:b/>
          <w:sz w:val="24"/>
          <w:szCs w:val="24"/>
        </w:rPr>
        <w:t>Une suite assez complexe</w:t>
      </w:r>
    </w:p>
    <w:p w14:paraId="2712A7B0" w14:textId="77777777" w:rsidR="00FB0226" w:rsidRDefault="00FB0226">
      <w:pPr>
        <w:spacing w:after="0"/>
      </w:pPr>
    </w:p>
    <w:p w14:paraId="11B7CC94" w14:textId="787FD275" w:rsidR="00FB0226" w:rsidRDefault="00302FE6">
      <w:pPr>
        <w:spacing w:after="0"/>
      </w:pPr>
      <w:bookmarkStart w:id="0" w:name="h.gjdgxs" w:colFirst="0" w:colLast="0"/>
      <w:bookmarkEnd w:id="0"/>
      <w:r>
        <w:rPr>
          <w:rFonts w:ascii="Times New Roman" w:eastAsia="Times New Roman" w:hAnsi="Times New Roman" w:cs="Times New Roman"/>
          <w:sz w:val="24"/>
          <w:szCs w:val="24"/>
        </w:rPr>
        <w:t>Les pistes de réforme retenues par le ministère seront ensuite approfondies pour </w:t>
      </w:r>
      <w:hyperlink r:id="rId13">
        <w:r>
          <w:rPr>
            <w:rFonts w:ascii="Times New Roman" w:eastAsia="Times New Roman" w:hAnsi="Times New Roman" w:cs="Times New Roman"/>
            <w:sz w:val="24"/>
            <w:szCs w:val="24"/>
          </w:rPr>
          <w:t>être</w:t>
        </w:r>
      </w:hyperlink>
      <w:r>
        <w:rPr>
          <w:rFonts w:ascii="Times New Roman" w:eastAsia="Times New Roman" w:hAnsi="Times New Roman" w:cs="Times New Roman"/>
          <w:sz w:val="24"/>
          <w:szCs w:val="24"/>
        </w:rPr>
        <w:t> traduites dans les textes ad hoc, que ce soit le code de l'environnement ou d'autres textes (urbanisme, etc.). La réforme pourra par exemple </w:t>
      </w:r>
      <w:hyperlink r:id="rId14">
        <w:r>
          <w:rPr>
            <w:rFonts w:ascii="Times New Roman" w:eastAsia="Times New Roman" w:hAnsi="Times New Roman" w:cs="Times New Roman"/>
            <w:sz w:val="24"/>
            <w:szCs w:val="24"/>
          </w:rPr>
          <w:t>concerner</w:t>
        </w:r>
      </w:hyperlink>
      <w:r>
        <w:rPr>
          <w:rFonts w:ascii="Times New Roman" w:eastAsia="Times New Roman" w:hAnsi="Times New Roman" w:cs="Times New Roman"/>
          <w:sz w:val="24"/>
          <w:szCs w:val="24"/>
        </w:rPr>
        <w:t> les programmes d'actions de prévention contre les inondations (PAPI), la législation sur les éoliennes, les périmètres des études d'impact d'un </w:t>
      </w:r>
      <w:hyperlink r:id="rId15">
        <w:r>
          <w:rPr>
            <w:rFonts w:ascii="Times New Roman" w:eastAsia="Times New Roman" w:hAnsi="Times New Roman" w:cs="Times New Roman"/>
            <w:sz w:val="24"/>
            <w:szCs w:val="24"/>
          </w:rPr>
          <w:t>projet</w:t>
        </w:r>
      </w:hyperlink>
      <w:r>
        <w:rPr>
          <w:rFonts w:ascii="Times New Roman" w:eastAsia="Times New Roman" w:hAnsi="Times New Roman" w:cs="Times New Roman"/>
          <w:sz w:val="24"/>
          <w:szCs w:val="24"/>
        </w:rPr>
        <w:t> ou les méthodes d'évaluation des mesures compensatoires. </w:t>
      </w:r>
      <w:r>
        <w:rPr>
          <w:rFonts w:ascii="Times New Roman" w:eastAsia="Times New Roman" w:hAnsi="Times New Roman" w:cs="Times New Roman"/>
          <w:i/>
          <w:sz w:val="24"/>
          <w:szCs w:val="24"/>
        </w:rPr>
        <w:t>"Il n'y a pas de liste arrêtée, tous les sujets sont sur la table"</w:t>
      </w:r>
      <w:r>
        <w:rPr>
          <w:rFonts w:ascii="Times New Roman" w:eastAsia="Times New Roman" w:hAnsi="Times New Roman" w:cs="Times New Roman"/>
          <w:sz w:val="24"/>
          <w:szCs w:val="24"/>
        </w:rPr>
        <w:t xml:space="preserve">, a indiqué </w:t>
      </w:r>
      <w:bookmarkStart w:id="1" w:name="_GoBack"/>
      <w:bookmarkEnd w:id="1"/>
      <w:r>
        <w:rPr>
          <w:rFonts w:ascii="Times New Roman" w:eastAsia="Times New Roman" w:hAnsi="Times New Roman" w:cs="Times New Roman"/>
          <w:sz w:val="24"/>
          <w:szCs w:val="24"/>
        </w:rPr>
        <w:t>en avançant </w:t>
      </w:r>
      <w:r>
        <w:rPr>
          <w:rFonts w:ascii="Times New Roman" w:eastAsia="Times New Roman" w:hAnsi="Times New Roman" w:cs="Times New Roman"/>
          <w:i/>
          <w:sz w:val="24"/>
          <w:szCs w:val="24"/>
        </w:rPr>
        <w:t>"deux maîtres mots"</w:t>
      </w:r>
      <w:r>
        <w:rPr>
          <w:rFonts w:ascii="Times New Roman" w:eastAsia="Times New Roman" w:hAnsi="Times New Roman" w:cs="Times New Roman"/>
          <w:sz w:val="24"/>
          <w:szCs w:val="24"/>
        </w:rPr>
        <w:t> pour </w:t>
      </w:r>
      <w:hyperlink r:id="rId16">
        <w:r>
          <w:rPr>
            <w:rFonts w:ascii="Times New Roman" w:eastAsia="Times New Roman" w:hAnsi="Times New Roman" w:cs="Times New Roman"/>
            <w:sz w:val="24"/>
            <w:szCs w:val="24"/>
          </w:rPr>
          <w:t>guider</w:t>
        </w:r>
      </w:hyperlink>
      <w:r>
        <w:rPr>
          <w:rFonts w:ascii="Times New Roman" w:eastAsia="Times New Roman" w:hAnsi="Times New Roman" w:cs="Times New Roman"/>
          <w:sz w:val="24"/>
          <w:szCs w:val="24"/>
        </w:rPr>
        <w:t> leur travail : </w:t>
      </w:r>
      <w:r>
        <w:rPr>
          <w:rFonts w:ascii="Times New Roman" w:eastAsia="Times New Roman" w:hAnsi="Times New Roman" w:cs="Times New Roman"/>
          <w:i/>
          <w:sz w:val="24"/>
          <w:szCs w:val="24"/>
        </w:rPr>
        <w:t>"La cohérence entre les différents textes"</w:t>
      </w:r>
      <w:r>
        <w:rPr>
          <w:rFonts w:ascii="Times New Roman" w:eastAsia="Times New Roman" w:hAnsi="Times New Roman" w:cs="Times New Roman"/>
          <w:sz w:val="24"/>
          <w:szCs w:val="24"/>
        </w:rPr>
        <w:t> et </w:t>
      </w:r>
      <w:r>
        <w:rPr>
          <w:rFonts w:ascii="Times New Roman" w:eastAsia="Times New Roman" w:hAnsi="Times New Roman" w:cs="Times New Roman"/>
          <w:i/>
          <w:sz w:val="24"/>
          <w:szCs w:val="24"/>
        </w:rPr>
        <w:t>"l'efficacité"</w:t>
      </w:r>
      <w:r>
        <w:rPr>
          <w:rFonts w:ascii="Times New Roman" w:eastAsia="Times New Roman" w:hAnsi="Times New Roman" w:cs="Times New Roman"/>
          <w:sz w:val="24"/>
          <w:szCs w:val="24"/>
        </w:rPr>
        <w:t> des normes.</w:t>
      </w:r>
    </w:p>
    <w:p w14:paraId="533001BC" w14:textId="77777777" w:rsidR="00FB0226" w:rsidRDefault="00FB0226"/>
    <w:sectPr w:rsidR="00FB022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FB0226"/>
    <w:rsid w:val="001A0764"/>
    <w:rsid w:val="00302FE6"/>
    <w:rsid w:val="00FB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0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monde.fr/social/" TargetMode="External"/><Relationship Id="rId12" Type="http://schemas.openxmlformats.org/officeDocument/2006/relationships/hyperlink" Target="http://conjugaison.lemonde.fr/conjugaison/deuxieme-groupe/%C3%A9tablir/" TargetMode="External"/><Relationship Id="rId13" Type="http://schemas.openxmlformats.org/officeDocument/2006/relationships/hyperlink" Target="http://conjugaison.lemonde.fr/conjugaison/auxiliaire/%C3%AAtre/" TargetMode="External"/><Relationship Id="rId14" Type="http://schemas.openxmlformats.org/officeDocument/2006/relationships/hyperlink" Target="http://conjugaison.lemonde.fr/conjugaison/premier-groupe/concerner/" TargetMode="External"/><Relationship Id="rId15" Type="http://schemas.openxmlformats.org/officeDocument/2006/relationships/hyperlink" Target="http://www.lemonde.fr/projet/" TargetMode="External"/><Relationship Id="rId16" Type="http://schemas.openxmlformats.org/officeDocument/2006/relationships/hyperlink" Target="http://conjugaison.lemonde.fr/conjugaison/premier-groupe/guide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r%C3%A9former/" TargetMode="External"/><Relationship Id="rId5" Type="http://schemas.openxmlformats.org/officeDocument/2006/relationships/hyperlink" Target="http://www.lemonde.fr/environnement/" TargetMode="External"/><Relationship Id="rId6" Type="http://schemas.openxmlformats.org/officeDocument/2006/relationships/hyperlink" Target="http://www.lemonde.fr/bourse/nyse-euronext-paris-equities/ses/" TargetMode="External"/><Relationship Id="rId7" Type="http://schemas.openxmlformats.org/officeDocument/2006/relationships/hyperlink" Target="http://conjugaison.lemonde.fr/conjugaison/deuxieme-groupe/aboutir/" TargetMode="External"/><Relationship Id="rId8" Type="http://schemas.openxmlformats.org/officeDocument/2006/relationships/hyperlink" Target="http://conjugaison.lemonde.fr/conjugaison/premier-groupe/moderniser/" TargetMode="External"/><Relationship Id="rId9" Type="http://schemas.openxmlformats.org/officeDocument/2006/relationships/hyperlink" Target="http://conjugaison.lemonde.fr/conjugaison/premier-groupe/simplifier/" TargetMode="External"/><Relationship Id="rId10" Type="http://schemas.openxmlformats.org/officeDocument/2006/relationships/hyperlink" Target="http://conjugaison.lemonde.fr/conjugaison/premier-groupe/eng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433</Words>
  <Characters>2472</Characters>
  <Application>Microsoft Macintosh Word</Application>
  <DocSecurity>0</DocSecurity>
  <Lines>20</Lines>
  <Paragraphs>5</Paragraphs>
  <ScaleCrop>false</ScaleCrop>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2016-01-08T22:29:00Z</dcterms:created>
  <dcterms:modified xsi:type="dcterms:W3CDTF">2016-01-09T02:37:00Z</dcterms:modified>
</cp:coreProperties>
</file>