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987ACBF" w14:textId="77777777" w:rsidR="000E6391" w:rsidRDefault="0005635E">
      <w:pPr>
        <w:spacing w:before="100" w:after="280"/>
      </w:pPr>
      <w:r>
        <w:rPr>
          <w:rFonts w:ascii="Times New Roman" w:eastAsia="Times New Roman" w:hAnsi="Times New Roman" w:cs="Times New Roman"/>
          <w:sz w:val="24"/>
          <w:szCs w:val="24"/>
        </w:rPr>
        <w:t>La CEDH n’est pas contre le refus d’allocations familiales à des parents étrangers</w:t>
      </w:r>
    </w:p>
    <w:p w14:paraId="44FB1452" w14:textId="7C6B394A" w:rsidR="000E6391" w:rsidRDefault="0005635E">
      <w:pPr>
        <w:tabs>
          <w:tab w:val="right" w:pos="8640"/>
        </w:tabs>
        <w:spacing w:after="280"/>
      </w:pPr>
      <w:bookmarkStart w:id="0" w:name="h.gjdgxs" w:colFirst="0" w:colLast="0"/>
      <w:bookmarkEnd w:id="0"/>
      <w:r>
        <w:rPr>
          <w:rFonts w:ascii="Times New Roman" w:eastAsia="Times New Roman" w:hAnsi="Times New Roman" w:cs="Times New Roman"/>
          <w:sz w:val="24"/>
          <w:szCs w:val="24"/>
        </w:rPr>
        <w:t>Par</w:t>
      </w:r>
      <w:r>
        <w:rPr>
          <w:rFonts w:ascii="Times New Roman" w:eastAsia="Times New Roman" w:hAnsi="Times New Roman" w:cs="Times New Roman"/>
          <w:color w:val="FF0000"/>
          <w:sz w:val="24"/>
          <w:szCs w:val="24"/>
        </w:rPr>
        <w:tab/>
      </w:r>
    </w:p>
    <w:p w14:paraId="6F476E12" w14:textId="77777777" w:rsidR="000E6391" w:rsidRDefault="0005635E">
      <w:pPr>
        <w:spacing w:after="0"/>
      </w:pPr>
      <w:r>
        <w:rPr>
          <w:rFonts w:ascii="Times New Roman" w:eastAsia="Times New Roman" w:hAnsi="Times New Roman" w:cs="Times New Roman"/>
          <w:b/>
          <w:sz w:val="24"/>
          <w:szCs w:val="24"/>
        </w:rPr>
        <w:t>Pour la Cour européenne des droits de l’homme (CEDH), </w:t>
      </w:r>
      <w:hyperlink r:id="rId4">
        <w:r>
          <w:rPr>
            <w:rFonts w:ascii="Times New Roman" w:eastAsia="Times New Roman" w:hAnsi="Times New Roman" w:cs="Times New Roman"/>
            <w:b/>
            <w:sz w:val="24"/>
            <w:szCs w:val="24"/>
          </w:rPr>
          <w:t>priver</w:t>
        </w:r>
      </w:hyperlink>
      <w:r>
        <w:rPr>
          <w:rFonts w:ascii="Times New Roman" w:eastAsia="Times New Roman" w:hAnsi="Times New Roman" w:cs="Times New Roman"/>
          <w:b/>
          <w:sz w:val="24"/>
          <w:szCs w:val="24"/>
        </w:rPr>
        <w:t> des parents étrangers d’allocations pour leurs enfants venus en </w:t>
      </w:r>
      <w:hyperlink r:id="rId5">
        <w:r>
          <w:rPr>
            <w:rFonts w:ascii="Times New Roman" w:eastAsia="Times New Roman" w:hAnsi="Times New Roman" w:cs="Times New Roman"/>
            <w:b/>
            <w:sz w:val="24"/>
            <w:szCs w:val="24"/>
          </w:rPr>
          <w:t>France</w:t>
        </w:r>
      </w:hyperlink>
      <w:r>
        <w:rPr>
          <w:rFonts w:ascii="Times New Roman" w:eastAsia="Times New Roman" w:hAnsi="Times New Roman" w:cs="Times New Roman"/>
          <w:b/>
          <w:sz w:val="24"/>
          <w:szCs w:val="24"/>
        </w:rPr>
        <w:t> en dehors de la procédure de regroupement familial n’est pas discriminatoire. C’est le sens d’un arrêt rendu par la CEDH mardi 29 septembre, douchant les espoirs des milliers de familles concernées.</w:t>
      </w:r>
    </w:p>
    <w:p w14:paraId="2256920A" w14:textId="2C86AB93" w:rsidR="000E6391" w:rsidRDefault="0005635E">
      <w:pPr>
        <w:spacing w:after="0"/>
      </w:pPr>
      <w:r>
        <w:rPr>
          <w:rFonts w:ascii="Times New Roman" w:eastAsia="Times New Roman" w:hAnsi="Times New Roman" w:cs="Times New Roman"/>
          <w:sz w:val="24"/>
          <w:szCs w:val="24"/>
        </w:rPr>
        <w:t>Dans cette affaire, des familles congolaises se battent depuis des années pour que la Caisse d’allocations familiales (CAF) prenne en compte tous leurs enfants dans le calcul de leurs prestations Nous en avons des temoignages de certains famille affirma le journaliste ‘. Elles accusaient la France de discrimination et d’atteinte à la vie familiale. D’après les juges européens, les requérants ont certes subi une différence de traitement par rapport à des familles françaises. Cependant cette différence </w:t>
      </w:r>
      <w:r>
        <w:rPr>
          <w:rFonts w:ascii="Times New Roman" w:eastAsia="Times New Roman" w:hAnsi="Times New Roman" w:cs="Times New Roman"/>
          <w:i/>
          <w:sz w:val="24"/>
          <w:szCs w:val="24"/>
        </w:rPr>
        <w:t>« n’est pas exclusivement fondée sur la nationalité, les requérants s’étant vu </w:t>
      </w:r>
      <w:hyperlink r:id="rId6">
        <w:r>
          <w:rPr>
            <w:rFonts w:ascii="Times New Roman" w:eastAsia="Times New Roman" w:hAnsi="Times New Roman" w:cs="Times New Roman"/>
            <w:i/>
            <w:sz w:val="24"/>
            <w:szCs w:val="24"/>
          </w:rPr>
          <w:t>refuser</w:t>
        </w:r>
      </w:hyperlink>
      <w:r>
        <w:rPr>
          <w:rFonts w:ascii="Times New Roman" w:eastAsia="Times New Roman" w:hAnsi="Times New Roman" w:cs="Times New Roman"/>
          <w:i/>
          <w:sz w:val="24"/>
          <w:szCs w:val="24"/>
        </w:rPr>
        <w:t xml:space="preserve"> les allocations familiales en raison du caractère irrégulier de l’entrée en </w:t>
      </w:r>
      <w:r>
        <w:rPr>
          <w:rFonts w:ascii="Times New Roman" w:eastAsia="Times New Roman" w:hAnsi="Times New Roman" w:cs="Times New Roman"/>
          <w:sz w:val="24"/>
          <w:szCs w:val="24"/>
        </w:rPr>
        <w:t>France</w:t>
      </w:r>
      <w:r>
        <w:rPr>
          <w:rFonts w:ascii="Times New Roman" w:eastAsia="Times New Roman" w:hAnsi="Times New Roman" w:cs="Times New Roman"/>
          <w:i/>
          <w:sz w:val="24"/>
          <w:szCs w:val="24"/>
        </w:rPr>
        <w:t>de leurs enfants, conséquence d’un comportement volontaire contraire à la loi »</w:t>
      </w:r>
      <w:r>
        <w:rPr>
          <w:rFonts w:ascii="Times New Roman" w:eastAsia="Times New Roman" w:hAnsi="Times New Roman" w:cs="Times New Roman"/>
          <w:sz w:val="24"/>
          <w:szCs w:val="24"/>
        </w:rPr>
        <w:t>,selon l’avocat,</w:t>
      </w:r>
      <w:r w:rsidR="00C220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ont-ils tranché, dans une décision définitive.</w:t>
      </w:r>
    </w:p>
    <w:p w14:paraId="6E2D59E1" w14:textId="77777777" w:rsidR="000E6391" w:rsidRDefault="0005635E">
      <w:pPr>
        <w:spacing w:after="0"/>
      </w:pPr>
      <w:r>
        <w:rPr>
          <w:rFonts w:ascii="Times New Roman" w:eastAsia="Times New Roman" w:hAnsi="Times New Roman" w:cs="Times New Roman"/>
          <w:sz w:val="24"/>
          <w:szCs w:val="24"/>
        </w:rPr>
        <w:t>Le fait de </w:t>
      </w:r>
      <w:hyperlink r:id="rId7">
        <w:r>
          <w:rPr>
            <w:rFonts w:ascii="Times New Roman" w:eastAsia="Times New Roman" w:hAnsi="Times New Roman" w:cs="Times New Roman"/>
            <w:sz w:val="24"/>
            <w:szCs w:val="24"/>
          </w:rPr>
          <w:t>réserver</w:t>
        </w:r>
      </w:hyperlink>
      <w:r>
        <w:rPr>
          <w:rFonts w:ascii="Times New Roman" w:eastAsia="Times New Roman" w:hAnsi="Times New Roman" w:cs="Times New Roman"/>
          <w:sz w:val="24"/>
          <w:szCs w:val="24"/>
        </w:rPr>
        <w:t> les allocations familiales aux enfants nés en France ou venus sur le territoire par le biais du regroupement familial repose sur une </w:t>
      </w:r>
      <w:r>
        <w:rPr>
          <w:rFonts w:ascii="Times New Roman" w:eastAsia="Times New Roman" w:hAnsi="Times New Roman" w:cs="Times New Roman"/>
          <w:i/>
          <w:sz w:val="24"/>
          <w:szCs w:val="24"/>
        </w:rPr>
        <w:t>« justification objective et raisonnable »</w:t>
      </w:r>
      <w:r>
        <w:rPr>
          <w:rFonts w:ascii="Times New Roman" w:eastAsia="Times New Roman" w:hAnsi="Times New Roman" w:cs="Times New Roman"/>
          <w:sz w:val="24"/>
          <w:szCs w:val="24"/>
        </w:rPr>
        <w:t>, a encore estimé la Cour, qui a déclaré à l’unanimité les requêtes irrecevables.</w:t>
      </w:r>
    </w:p>
    <w:p w14:paraId="5CDDFB2E" w14:textId="77777777" w:rsidR="000E6391" w:rsidRDefault="0005635E" w:rsidP="0005635E">
      <w:pPr>
        <w:spacing w:after="0"/>
        <w:outlineLvl w:val="0"/>
      </w:pPr>
      <w:r>
        <w:rPr>
          <w:rFonts w:ascii="Times New Roman" w:eastAsia="Times New Roman" w:hAnsi="Times New Roman" w:cs="Times New Roman"/>
          <w:b/>
          <w:sz w:val="24"/>
          <w:szCs w:val="24"/>
        </w:rPr>
        <w:t>Cette situation concernerait 9 000 enfants étrangers en France</w:t>
      </w:r>
    </w:p>
    <w:p w14:paraId="4AFA0A06" w14:textId="55B8F260" w:rsidR="000E6391" w:rsidRDefault="0005635E">
      <w:pPr>
        <w:spacing w:after="0"/>
      </w:pPr>
      <w:r>
        <w:rPr>
          <w:rFonts w:ascii="Times New Roman" w:eastAsia="Times New Roman" w:hAnsi="Times New Roman" w:cs="Times New Roman"/>
          <w:sz w:val="24"/>
          <w:szCs w:val="24"/>
        </w:rPr>
        <w:t xml:space="preserve">L’avocate de l’une des familles </w:t>
      </w:r>
      <w:proofErr w:type="gramStart"/>
      <w:r>
        <w:rPr>
          <w:rFonts w:ascii="Times New Roman" w:eastAsia="Times New Roman" w:hAnsi="Times New Roman" w:cs="Times New Roman"/>
          <w:sz w:val="24"/>
          <w:szCs w:val="24"/>
        </w:rPr>
        <w:t>déboutées</w:t>
      </w:r>
      <w:r w:rsidR="00C220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 déploré une </w:t>
      </w:r>
      <w:r>
        <w:rPr>
          <w:rFonts w:ascii="Times New Roman" w:eastAsia="Times New Roman" w:hAnsi="Times New Roman" w:cs="Times New Roman"/>
          <w:i/>
          <w:sz w:val="24"/>
          <w:szCs w:val="24"/>
        </w:rPr>
        <w:t>« décision très sévère et très inquiétante »</w:t>
      </w:r>
      <w:r>
        <w:rPr>
          <w:rFonts w:ascii="Times New Roman" w:eastAsia="Times New Roman" w:hAnsi="Times New Roman" w:cs="Times New Roman"/>
          <w:sz w:val="24"/>
          <w:szCs w:val="24"/>
        </w:rPr>
        <w:t>. </w:t>
      </w:r>
      <w:hyperlink r:id="rId8">
        <w:r>
          <w:rPr>
            <w:rFonts w:ascii="Times New Roman" w:eastAsia="Times New Roman" w:hAnsi="Times New Roman" w:cs="Times New Roman"/>
            <w:sz w:val="24"/>
            <w:szCs w:val="24"/>
          </w:rPr>
          <w:t>Ses</w:t>
        </w:r>
      </w:hyperlink>
      <w:r>
        <w:rPr>
          <w:rFonts w:ascii="Times New Roman" w:eastAsia="Times New Roman" w:hAnsi="Times New Roman" w:cs="Times New Roman"/>
          <w:sz w:val="24"/>
          <w:szCs w:val="24"/>
        </w:rPr>
        <w:t> clients, un couple de Congolais résidant dans la banlieue de </w:t>
      </w:r>
      <w:hyperlink r:id="rId9">
        <w:r>
          <w:rPr>
            <w:rFonts w:ascii="Times New Roman" w:eastAsia="Times New Roman" w:hAnsi="Times New Roman" w:cs="Times New Roman"/>
            <w:sz w:val="24"/>
            <w:szCs w:val="24"/>
          </w:rPr>
          <w:t>Rennes</w:t>
        </w:r>
      </w:hyperlink>
      <w:r>
        <w:rPr>
          <w:rFonts w:ascii="Times New Roman" w:eastAsia="Times New Roman" w:hAnsi="Times New Roman" w:cs="Times New Roman"/>
          <w:sz w:val="24"/>
          <w:szCs w:val="24"/>
        </w:rPr>
        <w:t>, ont quatre enfants, mais seuls les deux plus jeunes, nés en France du nom de sont </w:t>
      </w:r>
      <w:r>
        <w:rPr>
          <w:rFonts w:ascii="Times New Roman" w:eastAsia="Times New Roman" w:hAnsi="Times New Roman" w:cs="Times New Roman"/>
          <w:i/>
          <w:sz w:val="24"/>
          <w:szCs w:val="24"/>
        </w:rPr>
        <w:t>« reconnus »</w:t>
      </w:r>
      <w:r>
        <w:rPr>
          <w:rFonts w:ascii="Times New Roman" w:eastAsia="Times New Roman" w:hAnsi="Times New Roman" w:cs="Times New Roman"/>
          <w:sz w:val="24"/>
          <w:szCs w:val="24"/>
        </w:rPr>
        <w:t> par la CAF. Les deux aînés, nés en République démocratique du Congo et arrivés en France en 2002, ne sont pas pris en considération car ils n’ont pas rejoint leurs parents selon la procédure de regroupement familial.</w:t>
      </w:r>
    </w:p>
    <w:p w14:paraId="755F5ABF" w14:textId="77777777" w:rsidR="000E6391" w:rsidRDefault="0005635E">
      <w:pPr>
        <w:spacing w:after="0"/>
      </w:pPr>
      <w:r>
        <w:rPr>
          <w:rFonts w:ascii="Times New Roman" w:eastAsia="Times New Roman" w:hAnsi="Times New Roman" w:cs="Times New Roman"/>
          <w:sz w:val="24"/>
          <w:szCs w:val="24"/>
        </w:rPr>
        <w:t>Saisie de cas similaires, la Cour de cassation avait donné raison en 2004 aux familles étrangères avant d’opérer un changement de jurisprudence en 2011. C’est ce revirement que les familles concernées contestaient devant la CEDH.</w:t>
      </w:r>
    </w:p>
    <w:p w14:paraId="66295808" w14:textId="33373CBE" w:rsidR="000E6391" w:rsidRDefault="0005635E">
      <w:pPr>
        <w:spacing w:after="0"/>
      </w:pPr>
      <w:r>
        <w:rPr>
          <w:rFonts w:ascii="Times New Roman" w:eastAsia="Times New Roman" w:hAnsi="Times New Roman" w:cs="Times New Roman"/>
          <w:sz w:val="24"/>
          <w:szCs w:val="24"/>
        </w:rPr>
        <w:t xml:space="preserve">Selon l’économiste </w:t>
      </w:r>
      <w:bookmarkStart w:id="1" w:name="_GoBack"/>
      <w:bookmarkEnd w:id="1"/>
      <w:r>
        <w:rPr>
          <w:rFonts w:ascii="Times New Roman" w:eastAsia="Times New Roman" w:hAnsi="Times New Roman" w:cs="Times New Roman"/>
          <w:sz w:val="24"/>
          <w:szCs w:val="24"/>
        </w:rPr>
        <w:t>de l’Institut de recherches économiques et sociales (IRES), ce problème concernerait au maximum 9 000 enfants étrangers en France. </w:t>
      </w:r>
      <w:r>
        <w:rPr>
          <w:rFonts w:ascii="Times New Roman" w:eastAsia="Times New Roman" w:hAnsi="Times New Roman" w:cs="Times New Roman"/>
          <w:sz w:val="24"/>
          <w:szCs w:val="24"/>
        </w:rPr>
        <w:br/>
        <w:t>Les ressortissants de pays liés à l’</w:t>
      </w:r>
      <w:hyperlink r:id="rId10">
        <w:r>
          <w:rPr>
            <w:rFonts w:ascii="Times New Roman" w:eastAsia="Times New Roman" w:hAnsi="Times New Roman" w:cs="Times New Roman"/>
            <w:sz w:val="24"/>
            <w:szCs w:val="24"/>
          </w:rPr>
          <w:t>Union européenne</w:t>
        </w:r>
      </w:hyperlink>
      <w:r>
        <w:rPr>
          <w:rFonts w:ascii="Times New Roman" w:eastAsia="Times New Roman" w:hAnsi="Times New Roman" w:cs="Times New Roman"/>
          <w:sz w:val="24"/>
          <w:szCs w:val="24"/>
        </w:rPr>
        <w:t> par un accord d’association (notamment les Algériens, Marocains, Tunisiens et Turcs) ne sont pas concernés par ces restrictions, la Cour de cassation ayant jugé en 2013 qu’en vertu de ces accords ils devaient </w:t>
      </w:r>
      <w:hyperlink r:id="rId11">
        <w:r>
          <w:rPr>
            <w:rFonts w:ascii="Times New Roman" w:eastAsia="Times New Roman" w:hAnsi="Times New Roman" w:cs="Times New Roman"/>
            <w:sz w:val="24"/>
            <w:szCs w:val="24"/>
          </w:rPr>
          <w:t>bénéficier</w:t>
        </w:r>
      </w:hyperlink>
      <w:r>
        <w:rPr>
          <w:rFonts w:ascii="Times New Roman" w:eastAsia="Times New Roman" w:hAnsi="Times New Roman" w:cs="Times New Roman"/>
          <w:sz w:val="24"/>
          <w:szCs w:val="24"/>
        </w:rPr>
        <w:t> des mêmes prestations familiales que les Français.</w:t>
      </w:r>
    </w:p>
    <w:p w14:paraId="5B23147B" w14:textId="77777777" w:rsidR="000E6391" w:rsidRDefault="0005635E">
      <w:pPr>
        <w:spacing w:after="0"/>
      </w:pPr>
      <w:r>
        <w:rPr>
          <w:rFonts w:ascii="Times New Roman" w:eastAsia="Times New Roman" w:hAnsi="Times New Roman" w:cs="Times New Roman"/>
          <w:sz w:val="24"/>
          <w:szCs w:val="24"/>
        </w:rPr>
        <w:lastRenderedPageBreak/>
        <w:t>Les autres nationalités – par exemple des Chinois, Haïtiens, Colombiens, Vietnamiens, Comoriens… – ne bénéficient pas d’un tel accord et peuvent donc </w:t>
      </w:r>
      <w:hyperlink r:id="rId12">
        <w:r>
          <w:rPr>
            <w:rFonts w:ascii="Times New Roman" w:eastAsia="Times New Roman" w:hAnsi="Times New Roman" w:cs="Times New Roman"/>
            <w:sz w:val="24"/>
            <w:szCs w:val="24"/>
          </w:rPr>
          <w:t>tomber</w:t>
        </w:r>
      </w:hyperlink>
      <w:r>
        <w:rPr>
          <w:rFonts w:ascii="Times New Roman" w:eastAsia="Times New Roman" w:hAnsi="Times New Roman" w:cs="Times New Roman"/>
          <w:sz w:val="24"/>
          <w:szCs w:val="24"/>
        </w:rPr>
        <w:t> dans le cas où leurs enfants sont ignorés par les CAF. Il s’agit souvent de familles entrées de manière irrégulière sur le territoire et qui ont ensuite été régularisées.</w:t>
      </w:r>
    </w:p>
    <w:sectPr w:rsidR="000E6391">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compat>
    <w:compatSetting w:name="compatibilityMode" w:uri="http://schemas.microsoft.com/office/word" w:val="14"/>
  </w:compat>
  <w:rsids>
    <w:rsidRoot w:val="000E6391"/>
    <w:rsid w:val="0005635E"/>
    <w:rsid w:val="000E6391"/>
    <w:rsid w:val="00C22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B42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onjugaison.lemonde.fr/conjugaison/premier-groupe/b%C3%A9n%C3%A9ficier/" TargetMode="External"/><Relationship Id="rId12" Type="http://schemas.openxmlformats.org/officeDocument/2006/relationships/hyperlink" Target="http://conjugaison.lemonde.fr/conjugaison/premier-groupe/tomber/"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conjugaison.lemonde.fr/conjugaison/premier-groupe/priver/" TargetMode="External"/><Relationship Id="rId5" Type="http://schemas.openxmlformats.org/officeDocument/2006/relationships/hyperlink" Target="http://www.lemonde.fr/europeennes-france/" TargetMode="External"/><Relationship Id="rId6" Type="http://schemas.openxmlformats.org/officeDocument/2006/relationships/hyperlink" Target="http://conjugaison.lemonde.fr/conjugaison/premier-groupe/refuser/" TargetMode="External"/><Relationship Id="rId7" Type="http://schemas.openxmlformats.org/officeDocument/2006/relationships/hyperlink" Target="http://conjugaison.lemonde.fr/conjugaison/premier-groupe/r%C3%A9server/" TargetMode="External"/><Relationship Id="rId8" Type="http://schemas.openxmlformats.org/officeDocument/2006/relationships/hyperlink" Target="http://www.lemonde.fr/bourse/nyse-euronext-paris-equities/ses/" TargetMode="External"/><Relationship Id="rId9" Type="http://schemas.openxmlformats.org/officeDocument/2006/relationships/hyperlink" Target="http://www.lemonde.fr/rennes/" TargetMode="External"/><Relationship Id="rId10" Type="http://schemas.openxmlformats.org/officeDocument/2006/relationships/hyperlink" Target="http://www.lemonde.fr/union-europeen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565</Words>
  <Characters>3227</Characters>
  <Application>Microsoft Macintosh Word</Application>
  <DocSecurity>0</DocSecurity>
  <Lines>26</Lines>
  <Paragraphs>7</Paragraphs>
  <ScaleCrop>false</ScaleCrop>
  <LinksUpToDate>false</LinksUpToDate>
  <CharactersWithSpaces>3785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2016-01-08T22:34:00Z</dcterms:created>
  <dcterms:modified xsi:type="dcterms:W3CDTF">2016-01-09T02:40:00Z</dcterms:modified>
</cp:coreProperties>
</file>