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180" w:line="240" w:lineRule="auto"/>
        <w:contextualSpacing w:val="0"/>
        <w:jc w:val="center"/>
      </w:pPr>
      <w:bookmarkStart w:colFirst="0" w:colLast="0" w:name="h.gjdgxs" w:id="0"/>
      <w:bookmarkEnd w:id="0"/>
      <w:r w:rsidDel="00000000" w:rsidR="00000000" w:rsidRPr="00000000">
        <w:rPr>
          <w:rFonts w:ascii="Georgia" w:cs="Georgia" w:eastAsia="Georgia" w:hAnsi="Georgia"/>
          <w:color w:val="231f20"/>
          <w:sz w:val="63"/>
          <w:szCs w:val="63"/>
          <w:rtl w:val="0"/>
        </w:rPr>
        <w:t xml:space="preserve">Sylvie Goulard: «S’il n’y a que vingt-huit roitelets en Europe, nos Etats sortiront de l’Histoire»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180" w:line="240" w:lineRule="auto"/>
        <w:contextualSpacing w:val="0"/>
        <w:jc w:val="center"/>
      </w:pPr>
      <w:r w:rsidDel="00000000" w:rsidR="00000000" w:rsidRPr="00000000">
        <w:rPr>
          <w:rFonts w:ascii="Helvetica Neue" w:cs="Helvetica Neue" w:eastAsia="Helvetica Neue" w:hAnsi="Helvetica Neue"/>
          <w:color w:val="231f20"/>
          <w:sz w:val="32"/>
          <w:szCs w:val="32"/>
          <w:rtl w:val="0"/>
        </w:rPr>
        <w:t xml:space="preserve">« Le Traité européen ne prévoit pas qu’un Etat, en menaçant de quitter l’Union et en opérant ce qu’il faut bien appeler un chantage, obtienne de ses partenaires un statut plus favorable », met en garde la députée française au Parlement européen, membre du groupe Alliance des démocrates et des libéraux pour l’Europe (ADLE)</w:t>
      </w:r>
    </w:p>
    <w:p w:rsidR="00000000" w:rsidDel="00000000" w:rsidP="00000000" w:rsidRDefault="00000000" w:rsidRPr="00000000">
      <w:pPr>
        <w:spacing w:after="0" w:line="240" w:lineRule="auto"/>
        <w:contextualSpacing w:val="0"/>
        <w:jc w:val="center"/>
      </w:pPr>
      <w:r w:rsidDel="00000000" w:rsidR="00000000" w:rsidRPr="00000000">
        <w:rPr>
          <w:rFonts w:ascii="Georgia" w:cs="Georgia" w:eastAsia="Georgia" w:hAnsi="Georgia"/>
          <w:color w:val="231f20"/>
          <w:sz w:val="32"/>
          <w:szCs w:val="32"/>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231f20"/>
          <w:sz w:val="32"/>
          <w:szCs w:val="32"/>
          <w:highlight w:val="white"/>
          <w:rtl w:val="0"/>
        </w:rPr>
        <w:t xml:space="preserve">Les Britanniques voteront le 23 juin pour dire s’ils veulent ou non rester dans l’Union européenne. S’ils sortent, c’est la crise. Mais s’ils restent, la situation ne sera pas clarifiée pour autant, car les chefs d’Etat et de gouvernement ont fait au premier ministre David Cameron des promesses qu’ils ne pourront sans doute pas tenir. C’est ce qu’explique Sylvie Goulard, députée française au Parlement européen, membre du groupe Alliance des démocrates et des libéraux pour l’Europe (ADLE). Elle vient de publier </w:t>
      </w:r>
      <w:r w:rsidDel="00000000" w:rsidR="00000000" w:rsidRPr="00000000">
        <w:rPr>
          <w:rFonts w:ascii="Georgia" w:cs="Georgia" w:eastAsia="Georgia" w:hAnsi="Georgia"/>
          <w:i w:val="1"/>
          <w:color w:val="231f20"/>
          <w:sz w:val="32"/>
          <w:szCs w:val="32"/>
          <w:highlight w:val="white"/>
          <w:rtl w:val="0"/>
        </w:rPr>
        <w:t xml:space="preserve">Goodbye Europe </w:t>
      </w:r>
      <w:r w:rsidDel="00000000" w:rsidR="00000000" w:rsidRPr="00000000">
        <w:rPr>
          <w:rFonts w:ascii="Georgia" w:cs="Georgia" w:eastAsia="Georgia" w:hAnsi="Georgia"/>
          <w:color w:val="231f20"/>
          <w:sz w:val="32"/>
          <w:szCs w:val="32"/>
          <w:highlight w:val="white"/>
          <w:rtl w:val="0"/>
        </w:rPr>
        <w:t xml:space="preserve">(Flammarion) et va jusqu’à qualifier de « minable » l’Europe actuelle.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