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5" w:before="225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color w:val="283445"/>
          <w:sz w:val="48"/>
          <w:szCs w:val="48"/>
          <w:shd w:fill="f6f6f7" w:val="clear"/>
          <w:rtl w:val="0"/>
        </w:rPr>
        <w:t xml:space="preserve">IKEA VISÉ PAR UN RAPPORT DE LA COMMISSION EUROPÉEN POUR DES MONTAGES FISCAUX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283445"/>
          <w:sz w:val="32"/>
          <w:szCs w:val="32"/>
          <w:shd w:fill="f6f6f7" w:val="clear"/>
          <w:rtl w:val="0"/>
        </w:rPr>
        <w:t xml:space="preserve">Les eurodéputés verts dénoncent la "stratégie de planification fiscale agressive" du suédois Ikea, numéro un mondial de l'ameublement, dans un rapport d'enquête que la Commission européenne a promis samedi d'étudier en détail.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Le rapport montre notamment "</w:t>
      </w:r>
      <w:r w:rsidDel="00000000" w:rsidR="00000000" w:rsidRPr="00000000">
        <w:rPr>
          <w:rFonts w:ascii="Arial" w:cs="Arial" w:eastAsia="Arial" w:hAnsi="Arial"/>
          <w:b w:val="0"/>
          <w:i w:val="1"/>
          <w:color w:val="283445"/>
          <w:sz w:val="32"/>
          <w:szCs w:val="32"/>
          <w:shd w:fill="f6f6f7" w:val="clear"/>
          <w:rtl w:val="0"/>
        </w:rPr>
        <w:t xml:space="preserve">comment l'entreprise multinationale suédoise s'est structurée pour soustraire à l'impôt plus d'un milliard d'euros ces six dernières années au détriment de divers États européens</w:t>
      </w: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", selon les élus du groupe Verts/ALE au Parlement européen.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color w:val="283445"/>
          <w:sz w:val="32"/>
          <w:szCs w:val="32"/>
          <w:shd w:fill="f6f6f7" w:val="clear"/>
          <w:rtl w:val="0"/>
        </w:rPr>
        <w:t xml:space="preserve">IKEA a essentiellement utilisé des échappatoires fiscales qu'offrent les Pays-Bas, la Belgique et le Luxembourg</w:t>
      </w: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", écrivent-ils dans un communiqué. "</w:t>
      </w:r>
      <w:r w:rsidDel="00000000" w:rsidR="00000000" w:rsidRPr="00000000">
        <w:rPr>
          <w:rFonts w:ascii="Arial" w:cs="Arial" w:eastAsia="Arial" w:hAnsi="Arial"/>
          <w:b w:val="0"/>
          <w:i w:val="1"/>
          <w:color w:val="283445"/>
          <w:sz w:val="32"/>
          <w:szCs w:val="32"/>
          <w:shd w:fill="f6f6f7" w:val="clear"/>
          <w:rtl w:val="0"/>
        </w:rPr>
        <w:t xml:space="preserve">La Commission européenne a pris bonne note de ce rapport et va l'étudier en détail</w:t>
      </w: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", a déclaré à l'AFP Vanessa Mock, porte-parole de la Commission, chargée des services financiers et de la fiscalité.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Interrogé par l'AFP sur le rapport des eurodéputés, Ikea a affirmé "</w:t>
      </w:r>
      <w:r w:rsidDel="00000000" w:rsidR="00000000" w:rsidRPr="00000000">
        <w:rPr>
          <w:rFonts w:ascii="Arial" w:cs="Arial" w:eastAsia="Arial" w:hAnsi="Arial"/>
          <w:b w:val="0"/>
          <w:i w:val="1"/>
          <w:color w:val="283445"/>
          <w:sz w:val="32"/>
          <w:szCs w:val="32"/>
          <w:shd w:fill="f6f6f7" w:val="clear"/>
          <w:rtl w:val="0"/>
        </w:rPr>
        <w:t xml:space="preserve">payer ses impôts conformément aux législations nationales et internationales</w:t>
      </w: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", dans un courrier électronique. "</w:t>
      </w:r>
      <w:r w:rsidDel="00000000" w:rsidR="00000000" w:rsidRPr="00000000">
        <w:rPr>
          <w:rFonts w:ascii="Arial" w:cs="Arial" w:eastAsia="Arial" w:hAnsi="Arial"/>
          <w:b w:val="0"/>
          <w:i w:val="1"/>
          <w:color w:val="283445"/>
          <w:sz w:val="32"/>
          <w:szCs w:val="32"/>
          <w:shd w:fill="f6f6f7" w:val="clear"/>
          <w:rtl w:val="0"/>
        </w:rPr>
        <w:t xml:space="preserve">Nous tenons à continuer à développer nos activités en Europe et nous nous réjouissons d'échanger sur une harmonisation du système fiscal international</w:t>
      </w: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", a-t-il ajouté.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Dans ce rapport est décrite l'une des techniques privilégiées du groupe, selon les députés verts: chaque magasin de la chaîne suédoise procède au paiement de redevances ("royalties") à une filiale basée aux Pays-Bas qui joue seulement un rôle de "</w:t>
      </w:r>
      <w:r w:rsidDel="00000000" w:rsidR="00000000" w:rsidRPr="00000000">
        <w:rPr>
          <w:rFonts w:ascii="Arial" w:cs="Arial" w:eastAsia="Arial" w:hAnsi="Arial"/>
          <w:b w:val="0"/>
          <w:i w:val="1"/>
          <w:color w:val="283445"/>
          <w:sz w:val="32"/>
          <w:szCs w:val="32"/>
          <w:shd w:fill="f6f6f7" w:val="clear"/>
          <w:rtl w:val="0"/>
        </w:rPr>
        <w:t xml:space="preserve">conduit</w:t>
      </w: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". Les redevances entrent et sortent des Pays-Bas non taxées et aboutissent en grande partie au Liechtenstein. "</w:t>
      </w:r>
      <w:r w:rsidDel="00000000" w:rsidR="00000000" w:rsidRPr="00000000">
        <w:rPr>
          <w:rFonts w:ascii="Arial" w:cs="Arial" w:eastAsia="Arial" w:hAnsi="Arial"/>
          <w:b w:val="0"/>
          <w:i w:val="1"/>
          <w:color w:val="283445"/>
          <w:sz w:val="32"/>
          <w:szCs w:val="32"/>
          <w:shd w:fill="f6f6f7" w:val="clear"/>
          <w:rtl w:val="0"/>
        </w:rPr>
        <w:t xml:space="preserve">Rien que pour l'année 2014</w:t>
      </w: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", le rapport d'enquête évalue "</w:t>
      </w:r>
      <w:r w:rsidDel="00000000" w:rsidR="00000000" w:rsidRPr="00000000">
        <w:rPr>
          <w:rFonts w:ascii="Arial" w:cs="Arial" w:eastAsia="Arial" w:hAnsi="Arial"/>
          <w:b w:val="0"/>
          <w:i w:val="1"/>
          <w:color w:val="283445"/>
          <w:sz w:val="32"/>
          <w:szCs w:val="32"/>
          <w:shd w:fill="f6f6f7" w:val="clear"/>
          <w:rtl w:val="0"/>
        </w:rPr>
        <w:t xml:space="preserve">les pertes fiscales à 35 millions d'euros pour l'Allemagne, 24 millions d'euros pour la France et 7,5 millions d'euros pour la Belgique</w:t>
      </w: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".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Les eurodéputés verts ont envoyé une lettre à Margrethe Vestager, Commissaire européenne à la concurrence, et à Pierre Moscovici, Commissaire européen à la fiscalité, dans laquelle ils présentent leurs conclusions. Ils les invitent à lancer une procédure d'examen afin de vérifier l'existence d'une possible infraction à la législation européenne sur la concurrence. "</w:t>
      </w:r>
      <w:r w:rsidDel="00000000" w:rsidR="00000000" w:rsidRPr="00000000">
        <w:rPr>
          <w:rFonts w:ascii="Arial" w:cs="Arial" w:eastAsia="Arial" w:hAnsi="Arial"/>
          <w:b w:val="0"/>
          <w:i w:val="1"/>
          <w:color w:val="283445"/>
          <w:sz w:val="32"/>
          <w:szCs w:val="32"/>
          <w:shd w:fill="f6f6f7" w:val="clear"/>
          <w:rtl w:val="0"/>
        </w:rPr>
        <w:t xml:space="preserve">La commission européenne salue le fait que la lutte contre la fraude fiscale est devenue une priorité politique essentielle, aussi bien dans l'UE qu'au niveau international</w:t>
      </w: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", a déclaré Mme Mock à l'AFP.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Depuis l'éclatement du scandale LuxLeaks en novembre 2014, qui avait profondément terni l'entrée en fonction du Luxembourgeois Jean-Claude Juncker en tant que nouveau président de la Commission, Bruxelles a accentué sa lutte contre l'opacité fiscale.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LuxLeaks avait mis en lumière un système d'évasion fiscale à grande échelle des multinationales et particulièrement le rôle joué par certains Etats, comme le Luxembourg, à une époque où M. Juncker était à la fois Premier ministre et ministre des Finances.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83445"/>
          <w:sz w:val="32"/>
          <w:szCs w:val="32"/>
          <w:shd w:fill="f6f6f7" w:val="clear"/>
          <w:rtl w:val="0"/>
        </w:rPr>
        <w:t xml:space="preserve">En octobre 2015, la Commission a fait adopter par les 28 Etats membres le principe de l'échange automatique d'informations sur les accords fiscaux passés entre Etats et multinationales. Et fin janvier, elle a lancé une vaste offensive contre l'optimisation fiscale des multinationales qui prive chaque année les Etats de l'UE de dizaines de milliards d'euros.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