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D9629C" w14:textId="77777777" w:rsidR="00BC7806" w:rsidRDefault="00BF7143">
      <w:pPr>
        <w:spacing w:before="100" w:after="28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« Ma famille, maintenant, c’est vous, c’est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merci 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»</w:t>
      </w:r>
    </w:p>
    <w:p w14:paraId="1BA8CDD8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Par </w:t>
      </w:r>
      <w:hyperlink r:id="rId4">
        <w:r>
          <w:rPr>
            <w:rFonts w:ascii="Times New Roman" w:eastAsia="Times New Roman" w:hAnsi="Times New Roman" w:cs="Times New Roman"/>
            <w:b/>
            <w:color w:val="FF0000"/>
            <w:sz w:val="24"/>
            <w:szCs w:val="24"/>
          </w:rPr>
          <w:t>Emeline</w:t>
        </w:r>
      </w:hyperlink>
      <w:hyperlink r:id="rId5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FF0000"/>
            <w:sz w:val="24"/>
            <w:szCs w:val="24"/>
          </w:rPr>
          <w:t>Cazi</w:t>
        </w:r>
      </w:hyperlink>
    </w:p>
    <w:p w14:paraId="35EDA2C6" w14:textId="77777777" w:rsidR="00BC7806" w:rsidRDefault="00BC7806">
      <w:pPr>
        <w:spacing w:after="0"/>
      </w:pPr>
    </w:p>
    <w:p w14:paraId="788A4E75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 même rituel se répète tous les jours à la même heure. Un peu avant 15 heures, dans une salle borgne du rez-de-chaussée de la Cour nationale du droit d’asile à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Montreuil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(Seine-Saint-Denis), des agents de la Cour accrochent une à une dizaine de feuilles A4 sous de grands panneaux vitrés.</w:t>
      </w:r>
    </w:p>
    <w:p w14:paraId="6CF0D81C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l’entrée de la salle, des gardiens bloquent l’accès aux dizaines de personnes qui attendent dans le hall, parfois </w:t>
      </w:r>
      <w:r>
        <w:rPr>
          <w:rFonts w:ascii="Times New Roman" w:eastAsia="Times New Roman" w:hAnsi="Times New Roman" w:cs="Times New Roman"/>
          <w:sz w:val="24"/>
          <w:szCs w:val="24"/>
        </w:rPr>
        <w:t>depuis le matin, et scrutent sans pouvoir encore lire ces feuilles de résultats.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Ibrahim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dort mal depuis une semaine,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à cause du stress »</w:t>
      </w:r>
      <w:r>
        <w:rPr>
          <w:rFonts w:ascii="Times New Roman" w:eastAsia="Times New Roman" w:hAnsi="Times New Roman" w:cs="Times New Roman"/>
          <w:sz w:val="24"/>
          <w:szCs w:val="24"/>
        </w:rPr>
        <w:t>. Des milliers de bacheliers vivent à peu près la même scène chaque année. A cette différence près qu’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ici, à </w:t>
      </w:r>
      <w:r>
        <w:rPr>
          <w:rFonts w:ascii="Times New Roman" w:eastAsia="Times New Roman" w:hAnsi="Times New Roman" w:cs="Times New Roman"/>
          <w:sz w:val="24"/>
          <w:szCs w:val="24"/>
        </w:rPr>
        <w:t>Montreuil</w:t>
      </w:r>
      <w:r>
        <w:rPr>
          <w:rFonts w:ascii="Times New Roman" w:eastAsia="Times New Roman" w:hAnsi="Times New Roman" w:cs="Times New Roman"/>
          <w:sz w:val="24"/>
          <w:szCs w:val="24"/>
        </w:rPr>
        <w:t>, des vies sont en jeu.</w:t>
      </w:r>
    </w:p>
    <w:p w14:paraId="6E9FA2E1" w14:textId="77777777" w:rsidR="00BC7806" w:rsidRDefault="00BF7143"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UNE SEULE QUESTION INTÉRESSE LE </w:t>
      </w:r>
      <w:proofErr w:type="gramStart"/>
      <w:r>
        <w:rPr>
          <w:rFonts w:ascii="Times New Roman" w:eastAsia="Times New Roman" w:hAnsi="Times New Roman" w:cs="Times New Roman"/>
          <w:smallCaps/>
          <w:sz w:val="24"/>
          <w:szCs w:val="24"/>
        </w:rPr>
        <w:t>TRIBUNAL :</w:t>
      </w:r>
      <w:proofErr w:type="gramEnd"/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CES PERSONNES SONT-ELLES RÉELLEMENT EN DANGER ?</w:t>
      </w:r>
    </w:p>
    <w:p w14:paraId="7D38838D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Voilà trois semaines, le 17 septembre, plus d’une centaine d’hommes et de femmes, parfois accompagnés de leurs e</w:t>
      </w:r>
      <w:r>
        <w:rPr>
          <w:rFonts w:ascii="Times New Roman" w:eastAsia="Times New Roman" w:hAnsi="Times New Roman" w:cs="Times New Roman"/>
          <w:sz w:val="24"/>
          <w:szCs w:val="24"/>
        </w:rPr>
        <w:t>nfants, sont venues 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expliquer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au juge les raisons de leur arrivée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>, leur vie devenue un enfer dans leur pays, les persécutions, la maison inc</w:t>
      </w:r>
      <w:r>
        <w:rPr>
          <w:rFonts w:ascii="Times New Roman" w:eastAsia="Times New Roman" w:hAnsi="Times New Roman" w:cs="Times New Roman"/>
          <w:sz w:val="24"/>
          <w:szCs w:val="24"/>
        </w:rPr>
        <w:t>endiée, les terres volées, les nuits en prison. Le viol parfois, la torture.</w:t>
      </w:r>
    </w:p>
    <w:p w14:paraId="7C1BB520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tribunal s’attarde rarement sur le récit du long périple qui les a menés jusqu’ici. Une seule question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l’intéresse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ces personnes sont-elles réellement en danger ?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doit-elle leur 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accorder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l’asile ?</w:t>
      </w:r>
    </w:p>
    <w:p w14:paraId="4E008509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Ibrahim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Diallo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fui la 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Guinée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Conakry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 2013, iln’avait pas 20 ans. Son père était mort quatre ans plus tôt alors qu’il manifestait contre la junte militaire au pouvoir.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Ibrahim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Diallo</w:t>
      </w:r>
      <w:r>
        <w:rPr>
          <w:rFonts w:ascii="Times New Roman" w:eastAsia="Times New Roman" w:hAnsi="Times New Roman" w:cs="Times New Roman"/>
          <w:sz w:val="24"/>
          <w:szCs w:val="24"/>
        </w:rPr>
        <w:t>, était, depuis, considér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comme un opposant et ne vivait plus sereinement. Arrêté le 23 mai 2013, il a été emprisonné. Son oncle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Mousa</w:t>
      </w:r>
      <w:r>
        <w:rPr>
          <w:rFonts w:ascii="Times New Roman" w:eastAsia="Times New Roman" w:hAnsi="Times New Roman" w:cs="Times New Roman"/>
          <w:sz w:val="24"/>
          <w:szCs w:val="24"/>
        </w:rPr>
        <w:t>àversé plus de 4 millions de francs guinéens (environ 441 euros de l’époque) à l’un des geôliers pour le 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libérer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FC8037" w14:textId="77777777" w:rsidR="00BC7806" w:rsidRDefault="00BF7143" w:rsidP="00BF7143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Une femme hurle de joie</w:t>
      </w:r>
    </w:p>
    <w:p w14:paraId="65CF7E91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Quelques semaines plus tard, il a trouvé un passeur pour 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aider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son neveu à 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gagner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grâce à un passeport d’emprunt. Pas de barque donc, mais une arrivée en avion à l’aéroport de Roissy-Charles-de-Gaulle à 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Paris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quelques vêtements et un acte de naissance pour seul bagage, et, depuis, la vie dans un foyer de demandeurs d’asile à </w:t>
      </w:r>
      <w:r>
        <w:rPr>
          <w:rFonts w:ascii="Times New Roman" w:eastAsia="Times New Roman" w:hAnsi="Times New Roman" w:cs="Times New Roman"/>
          <w:sz w:val="24"/>
          <w:szCs w:val="24"/>
        </w:rPr>
        <w:t>Achères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dans les </w:t>
      </w:r>
      <w:r>
        <w:rPr>
          <w:rFonts w:ascii="Times New Roman" w:eastAsia="Times New Roman" w:hAnsi="Times New Roman" w:cs="Times New Roman"/>
          <w:sz w:val="24"/>
          <w:szCs w:val="24"/>
        </w:rPr>
        <w:t>Yvelines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7708B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L’affichage est terminé. 15 h 01</w:t>
      </w:r>
      <w:r>
        <w:rPr>
          <w:rFonts w:ascii="Times New Roman" w:eastAsia="Times New Roman" w:hAnsi="Times New Roman" w:cs="Times New Roman"/>
          <w:sz w:val="24"/>
          <w:szCs w:val="24"/>
        </w:rPr>
        <w:t>, une femme en gilet 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orange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hurle de joie, lève les bras.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 Madame,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silence !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Calmez-</w:t>
      </w:r>
      <w:hyperlink r:id="rId15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vous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Comprenez que d’autres n’apprennent pas la même nouvelle que vous », </w:t>
      </w:r>
      <w:r>
        <w:rPr>
          <w:rFonts w:ascii="Times New Roman" w:eastAsia="Times New Roman" w:hAnsi="Times New Roman" w:cs="Times New Roman"/>
          <w:sz w:val="24"/>
          <w:szCs w:val="24"/>
        </w:rPr>
        <w:t>explique un agent de sécurité.</w:t>
      </w:r>
    </w:p>
    <w:p w14:paraId="3DE5659B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Quelques copains sont venus 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accompagner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Ibrahim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Diallo</w:t>
      </w:r>
      <w:r>
        <w:rPr>
          <w:rFonts w:ascii="Times New Roman" w:eastAsia="Times New Roman" w:hAnsi="Times New Roman" w:cs="Times New Roman"/>
          <w:sz w:val="24"/>
          <w:szCs w:val="24"/>
        </w:rPr>
        <w:t>. Eux ne sont pas encore passés devant 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juge. « Statut de réfugié », lisent-ils sur le panneau.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Ils ont donné, hein, ils ont donné ? 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interroge le jeune homme, fou de joie, qui aussitôt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appelle 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ses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assistant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 » </w:t>
      </w:r>
      <w:r>
        <w:rPr>
          <w:rFonts w:ascii="Times New Roman" w:eastAsia="Times New Roman" w:hAnsi="Times New Roman" w:cs="Times New Roman"/>
          <w:sz w:val="24"/>
          <w:szCs w:val="24"/>
        </w:rPr>
        <w:t>(sociaux) et son avocat.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 Ma </w:t>
      </w:r>
      <w:hyperlink r:id="rId18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famille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maintenant, c’est vous, c’est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Merci,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merci !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 »</w:t>
      </w:r>
    </w:p>
    <w:p w14:paraId="2477AE5F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Cléance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23 ans, a grandi en République démocratique du </w:t>
      </w:r>
      <w:r>
        <w:rPr>
          <w:rFonts w:ascii="Times New Roman" w:eastAsia="Times New Roman" w:hAnsi="Times New Roman" w:cs="Times New Roman"/>
          <w:sz w:val="24"/>
          <w:szCs w:val="24"/>
        </w:rPr>
        <w:t>Congo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Il y a trois semaines quand nous l’avions rencontrée, elle racontait les journées de prison dans un container par 40 degrés, le viol qui a suivi la diffusion d’un reportage de la chaîne congolaise RTGA dans lequel elle dénonçait les agissements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hauts dignitaires du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régime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ils déversaient notamment leurs déchets dans le fleuve, là où les plus pauvres de </w:t>
      </w:r>
      <w:r>
        <w:rPr>
          <w:rFonts w:ascii="Times New Roman" w:eastAsia="Times New Roman" w:hAnsi="Times New Roman" w:cs="Times New Roman"/>
          <w:sz w:val="24"/>
          <w:szCs w:val="24"/>
        </w:rPr>
        <w:t>Kinshasa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baignent et lavent leur linge.</w:t>
      </w:r>
    </w:p>
    <w:p w14:paraId="1E693BCB" w14:textId="77777777" w:rsidR="00BC7806" w:rsidRDefault="00BF7143"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EN 2014, LA COUR NATIONALE DU DROIT D’ASILE A EXAMINÉ PRÈS DE 40 000 DOSSIERS.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SEULS 15 % DES DEMANDEURS ONT OBTENU UNE PROTECTION</w:t>
      </w:r>
    </w:p>
    <w:p w14:paraId="4627A6F3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L’agent de l’office français de protection des réfugiés et apatrides (Ofpra), n’a pas cru à son 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>histoire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Les magistrats, si. Ils viennent de lui accorde</w:t>
      </w:r>
      <w:r>
        <w:rPr>
          <w:rFonts w:ascii="Times New Roman" w:eastAsia="Times New Roman" w:hAnsi="Times New Roman" w:cs="Times New Roman"/>
          <w:sz w:val="24"/>
          <w:szCs w:val="24"/>
        </w:rPr>
        <w:t>r la protection subsidiaire, qui l’autorise à </w:t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>rester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au moins un an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C87B3" w14:textId="77777777" w:rsidR="00BC7806" w:rsidRDefault="00BF7143">
      <w:pPr>
        <w:spacing w:after="0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Sur le panneau d’en face, c’est bon pour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Habibou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aussi. « Réfugié 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Il arrive de </w:t>
      </w:r>
      <w:hyperlink r:id="rId21">
        <w:r>
          <w:rPr>
            <w:rFonts w:ascii="Times New Roman" w:eastAsia="Times New Roman" w:hAnsi="Times New Roman" w:cs="Times New Roman"/>
            <w:sz w:val="24"/>
            <w:szCs w:val="24"/>
          </w:rPr>
          <w:t>Mauritanie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Lui aussi, nous l’avions rencontré début septembre. A la fin des années 1980, les ethnies arabes ont déporté les noirs au </w:t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</w:rPr>
          <w:t>Sénégal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de l’autre côté du fleuve. Près de vingt après,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Habibou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Dialou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voulu </w:t>
      </w:r>
      <w:hyperlink r:id="rId23">
        <w:r>
          <w:rPr>
            <w:rFonts w:ascii="Times New Roman" w:eastAsia="Times New Roman" w:hAnsi="Times New Roman" w:cs="Times New Roman"/>
            <w:sz w:val="24"/>
            <w:szCs w:val="24"/>
          </w:rPr>
          <w:t>rentrer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récupérer les terres familiales, la maison et ses bêtes. Il n’ont pas pu rester, chassé à nouveau par les Arabes.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lui a accordé une protection de dix ans.</w:t>
      </w:r>
    </w:p>
    <w:p w14:paraId="7F2ECC8B" w14:textId="77777777" w:rsidR="00BC7806" w:rsidRDefault="00BF7143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 les 127 dossiers examinés jeudi 17 septembre, seuls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 demandeurs ont obtenu le statut de réfugiés et 14 la protection subsidiaire. Une petite centaine de personnes est désormais officiellement en situation irrégulière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>. Sans ressource.</w:t>
      </w:r>
    </w:p>
    <w:sectPr w:rsidR="00BC780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7806"/>
    <w:rsid w:val="00BC7806"/>
    <w:rsid w:val="00B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5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emonde.fr/guinee/" TargetMode="External"/><Relationship Id="rId20" Type="http://schemas.openxmlformats.org/officeDocument/2006/relationships/hyperlink" Target="http://conjugaison.lemonde.fr/conjugaison/premier-groupe/rester/" TargetMode="External"/><Relationship Id="rId21" Type="http://schemas.openxmlformats.org/officeDocument/2006/relationships/hyperlink" Target="http://www.lemonde.fr/mauritanie/" TargetMode="External"/><Relationship Id="rId22" Type="http://schemas.openxmlformats.org/officeDocument/2006/relationships/hyperlink" Target="http://www.lemonde.fr/senegal/" TargetMode="External"/><Relationship Id="rId23" Type="http://schemas.openxmlformats.org/officeDocument/2006/relationships/hyperlink" Target="http://conjugaison.lemonde.fr/conjugaison/premier-groupe/rentrer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conjugaison.lemonde.fr/conjugaison/premier-groupe/lib%C3%A9rer/" TargetMode="External"/><Relationship Id="rId11" Type="http://schemas.openxmlformats.org/officeDocument/2006/relationships/hyperlink" Target="http://conjugaison.lemonde.fr/conjugaison/premier-groupe/aider/" TargetMode="External"/><Relationship Id="rId12" Type="http://schemas.openxmlformats.org/officeDocument/2006/relationships/hyperlink" Target="http://conjugaison.lemonde.fr/conjugaison/premier-groupe/gagner/" TargetMode="External"/><Relationship Id="rId13" Type="http://schemas.openxmlformats.org/officeDocument/2006/relationships/hyperlink" Target="http://www.lemonde.fr/paris/" TargetMode="External"/><Relationship Id="rId14" Type="http://schemas.openxmlformats.org/officeDocument/2006/relationships/hyperlink" Target="http://www.lemonde.fr/orange/" TargetMode="External"/><Relationship Id="rId15" Type="http://schemas.openxmlformats.org/officeDocument/2006/relationships/hyperlink" Target="http://www.lemonde.fr/vous/" TargetMode="External"/><Relationship Id="rId16" Type="http://schemas.openxmlformats.org/officeDocument/2006/relationships/hyperlink" Target="http://conjugaison.lemonde.fr/conjugaison/premier-groupe/accompagner/" TargetMode="External"/><Relationship Id="rId17" Type="http://schemas.openxmlformats.org/officeDocument/2006/relationships/hyperlink" Target="http://www.lemonde.fr/bourse/nyse-euronext-paris-equities/ses/" TargetMode="External"/><Relationship Id="rId18" Type="http://schemas.openxmlformats.org/officeDocument/2006/relationships/hyperlink" Target="http://www.lemonde.fr/famille/" TargetMode="External"/><Relationship Id="rId19" Type="http://schemas.openxmlformats.org/officeDocument/2006/relationships/hyperlink" Target="http://www.lemonde.fr/histoir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lemonde.fr/journaliste/emeline-cazi/" TargetMode="External"/><Relationship Id="rId5" Type="http://schemas.openxmlformats.org/officeDocument/2006/relationships/hyperlink" Target="http://www.lemonde.fr/journaliste/emeline-cazi/" TargetMode="External"/><Relationship Id="rId6" Type="http://schemas.openxmlformats.org/officeDocument/2006/relationships/hyperlink" Target="http://www.lemonde.fr/journaliste/emeline-cazi/" TargetMode="External"/><Relationship Id="rId7" Type="http://schemas.openxmlformats.org/officeDocument/2006/relationships/hyperlink" Target="http://conjugaison.lemonde.fr/conjugaison/premier-groupe/expliquer/" TargetMode="External"/><Relationship Id="rId8" Type="http://schemas.openxmlformats.org/officeDocument/2006/relationships/hyperlink" Target="http://conjugaison.lemonde.fr/conjugaison/premier-groupe/acc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858</Words>
  <Characters>4893</Characters>
  <Application>Microsoft Macintosh Word</Application>
  <DocSecurity>0</DocSecurity>
  <Lines>40</Lines>
  <Paragraphs>11</Paragraphs>
  <ScaleCrop>false</ScaleCrop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2016-01-08T22:33:00Z</dcterms:created>
  <dcterms:modified xsi:type="dcterms:W3CDTF">2016-01-08T22:34:00Z</dcterms:modified>
</cp:coreProperties>
</file>