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87ACBF" w14:textId="77777777" w:rsidR="000E6391" w:rsidRDefault="0005635E">
      <w:pPr>
        <w:spacing w:before="100" w:after="2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CEDH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d’allocations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familiales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des parents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étrangers</w:t>
      </w:r>
      <w:proofErr w:type="spellEnd"/>
    </w:p>
    <w:p w14:paraId="44FB1452" w14:textId="77777777" w:rsidR="000E6391" w:rsidRDefault="0005635E">
      <w:pPr>
        <w:tabs>
          <w:tab w:val="right" w:pos="8640"/>
        </w:tabs>
        <w:spacing w:after="280"/>
      </w:pPr>
      <w:bookmarkStart w:id="0" w:name="h.gjdgxs" w:colFirst="0" w:colLast="0"/>
      <w:bookmarkEnd w:id="0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Par 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Solange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Delatour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6F476E12" w14:textId="77777777" w:rsidR="000E6391" w:rsidRDefault="0005635E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Pour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européenne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 droits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l’homme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(CEDH), </w:t>
      </w:r>
      <w:hyperlink r:id="rId4"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priver</w:t>
        </w:r>
        <w:proofErr w:type="spellEnd"/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des parents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étrangers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d’allocations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enfants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venus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 </w:t>
      </w:r>
      <w:hyperlink r:id="rId5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France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dehors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procédure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regroupement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familial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n’est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discriminatoire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d’un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arrêt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rendu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 la CEDH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mardi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29 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septembre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douchant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espoirs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milliers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familles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concernées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256920A" w14:textId="77777777" w:rsidR="000E6391" w:rsidRDefault="0005635E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affaire,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congolaises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d’allocations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familiales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(CAF)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prestations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temoignages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affirma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journaliste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‘’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Robert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Patrick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Louis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’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accusaient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discrimination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d’atteinte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vie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familiale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D’après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requérants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certes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différence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rapport à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Cepen</w:t>
      </w:r>
      <w:r>
        <w:rPr>
          <w:rFonts w:ascii="Times New Roman" w:eastAsia="Times New Roman" w:hAnsi="Times New Roman" w:cs="Times New Roman"/>
          <w:sz w:val="24"/>
          <w:szCs w:val="24"/>
        </w:rPr>
        <w:t>dant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différence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n’est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exclusivement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fondée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nationalité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requérants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s’étant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vu </w:t>
      </w:r>
      <w:hyperlink r:id="rId6"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refuser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 les allocations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familiales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raison du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caractère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irrégulier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l’entrée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enfants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conséquence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d’un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comportement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volontaire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contraire à 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l’avocat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e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Manes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Pierre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Eugene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ont-ils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</w:t>
      </w:r>
      <w:r>
        <w:rPr>
          <w:rFonts w:ascii="Times New Roman" w:eastAsia="Times New Roman" w:hAnsi="Times New Roman" w:cs="Times New Roman"/>
          <w:sz w:val="24"/>
          <w:szCs w:val="24"/>
        </w:rPr>
        <w:t>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définitive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D59E1" w14:textId="77777777" w:rsidR="000E6391" w:rsidRDefault="0005635E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Le fait de </w:t>
      </w:r>
      <w:hyperlink r:id="rId7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réserver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les allocations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familiales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territoire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regroupement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familial repose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 justification objective 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raisonnable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encore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déclaré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l’unanimité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requêtes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irrecevables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DFB2E" w14:textId="77777777" w:rsidR="000E6391" w:rsidRDefault="0005635E" w:rsidP="0005635E">
      <w:pPr>
        <w:spacing w:after="0"/>
        <w:outlineLvl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situation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concernerait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9 000 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enfants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étrangers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France</w:t>
      </w:r>
    </w:p>
    <w:p w14:paraId="4AFA0A06" w14:textId="77777777" w:rsidR="000E6391" w:rsidRDefault="0005635E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L’avocate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milles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déboutées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Hélène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Gacon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déploré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décision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sévère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inquiétante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  <w:hyperlink r:id="rId8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Ses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clients, un couple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ongolais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résidant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banlieue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Rennes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 nom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Ralph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Bossou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reconnus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par la CAF.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aînés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République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démocratique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r>
        <w:rPr>
          <w:rFonts w:ascii="Times New Roman" w:eastAsia="Times New Roman" w:hAnsi="Times New Roman" w:cs="Times New Roman"/>
          <w:sz w:val="24"/>
          <w:szCs w:val="24"/>
        </w:rPr>
        <w:t>Congo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arrivés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 2002,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considération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rejoint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procédure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sz w:val="24"/>
          <w:szCs w:val="24"/>
        </w:rPr>
        <w:t>roupement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familial.</w:t>
      </w:r>
    </w:p>
    <w:p w14:paraId="755F5ABF" w14:textId="77777777" w:rsidR="000E6391" w:rsidRDefault="0005635E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cassation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raison en 2004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d’opérer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jurisprudence en 2011.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contestaient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CEDH.</w:t>
      </w:r>
    </w:p>
    <w:p w14:paraId="66295808" w14:textId="77777777" w:rsidR="000E6391" w:rsidRDefault="0005635E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l’économiste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Antoine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recherches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économiques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(IRES),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concernerait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maximum 9 000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ressortissants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pays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Union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européenne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par un accord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d’association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notamment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Algériens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Marocains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Tunisiens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restrictions,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cassation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 2013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accords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bénéficier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prestations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familiales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3147B" w14:textId="77777777" w:rsidR="000E6391" w:rsidRDefault="0005635E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Chinois,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Haïtiens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Colombi</w:t>
      </w:r>
      <w:r>
        <w:rPr>
          <w:rFonts w:ascii="Times New Roman" w:eastAsia="Times New Roman" w:hAnsi="Times New Roman" w:cs="Times New Roman"/>
          <w:sz w:val="24"/>
          <w:szCs w:val="24"/>
        </w:rPr>
        <w:t>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Vietnamiens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Comoriens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… –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bénéficient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d’un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accord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tomber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ignorés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les CAF. 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s’agit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entrées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irrégulière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territoire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ensuite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régularisées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E639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6391"/>
    <w:rsid w:val="0005635E"/>
    <w:rsid w:val="000E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42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njugaison.lemonde.fr/conjugaison/premier-groupe/b%C3%A9n%C3%A9ficier/" TargetMode="External"/><Relationship Id="rId12" Type="http://schemas.openxmlformats.org/officeDocument/2006/relationships/hyperlink" Target="http://conjugaison.lemonde.fr/conjugaison/premier-groupe/tomber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conjugaison.lemonde.fr/conjugaison/premier-groupe/priver/" TargetMode="External"/><Relationship Id="rId5" Type="http://schemas.openxmlformats.org/officeDocument/2006/relationships/hyperlink" Target="http://www.lemonde.fr/europeennes-france/" TargetMode="External"/><Relationship Id="rId6" Type="http://schemas.openxmlformats.org/officeDocument/2006/relationships/hyperlink" Target="http://conjugaison.lemonde.fr/conjugaison/premier-groupe/refuser/" TargetMode="External"/><Relationship Id="rId7" Type="http://schemas.openxmlformats.org/officeDocument/2006/relationships/hyperlink" Target="http://conjugaison.lemonde.fr/conjugaison/premier-groupe/r%C3%A9server/" TargetMode="External"/><Relationship Id="rId8" Type="http://schemas.openxmlformats.org/officeDocument/2006/relationships/hyperlink" Target="http://www.lemonde.fr/bourse/nyse-euronext-paris-equities/ses/" TargetMode="External"/><Relationship Id="rId9" Type="http://schemas.openxmlformats.org/officeDocument/2006/relationships/hyperlink" Target="http://www.lemonde.fr/rennes/" TargetMode="External"/><Relationship Id="rId10" Type="http://schemas.openxmlformats.org/officeDocument/2006/relationships/hyperlink" Target="http://www.lemonde.fr/union-europeen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582</Words>
  <Characters>3319</Characters>
  <Application>Microsoft Macintosh Word</Application>
  <DocSecurity>0</DocSecurity>
  <Lines>27</Lines>
  <Paragraphs>7</Paragraphs>
  <ScaleCrop>false</ScaleCrop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2016-01-08T22:34:00Z</dcterms:created>
  <dcterms:modified xsi:type="dcterms:W3CDTF">2016-01-08T22:36:00Z</dcterms:modified>
</cp:coreProperties>
</file>