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E26AFD4" w14:textId="77777777" w:rsidR="00D0252E" w:rsidRDefault="00280AC1">
      <w:pPr>
        <w:spacing w:after="60" w:line="240" w:lineRule="auto"/>
      </w:pPr>
      <w:bookmarkStart w:id="0" w:name="h.gjdgxs" w:colFirst="0" w:colLast="0"/>
      <w:bookmarkStart w:id="1" w:name="_GoBack"/>
      <w:bookmarkEnd w:id="0"/>
      <w:r>
        <w:rPr>
          <w:rFonts w:ascii="Georgia" w:eastAsia="Georgia" w:hAnsi="Georgia" w:cs="Georgia"/>
          <w:sz w:val="43"/>
          <w:szCs w:val="43"/>
        </w:rPr>
        <w:t>Neanderthal Museum</w:t>
      </w:r>
    </w:p>
    <w:p w14:paraId="3D34342E" w14:textId="77777777" w:rsidR="00D0252E" w:rsidRDefault="00280AC1"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Das </w:t>
      </w:r>
      <w:r>
        <w:rPr>
          <w:rFonts w:ascii="Arial" w:eastAsia="Arial" w:hAnsi="Arial" w:cs="Arial"/>
          <w:b/>
          <w:color w:val="252525"/>
          <w:sz w:val="32"/>
          <w:szCs w:val="32"/>
          <w:highlight w:val="white"/>
        </w:rPr>
        <w:t>Neanderthal Museum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 ist ein Museum im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Neandertal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 bei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Düsseldorf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. Es behandelt die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Ur-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 und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Frühgeschichte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 der Menschheit sowie die nach dem Fundort des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Fo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ssils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Neandertal 1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 benannten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Neandertaler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.</w:t>
      </w:r>
    </w:p>
    <w:p w14:paraId="16C28C39" w14:textId="77777777" w:rsidR="00D0252E" w:rsidRDefault="00280AC1">
      <w:pPr>
        <w:pStyle w:val="Heading2"/>
        <w:spacing w:before="240" w:after="60"/>
      </w:pPr>
      <w:r>
        <w:rPr>
          <w:rFonts w:ascii="Georgia" w:eastAsia="Georgia" w:hAnsi="Georgia" w:cs="Georgia"/>
          <w:b/>
          <w:color w:val="000000"/>
          <w:sz w:val="32"/>
          <w:szCs w:val="32"/>
        </w:rPr>
        <w:t>Museum</w:t>
      </w:r>
      <w:r>
        <w:rPr>
          <w:rFonts w:ascii="Arial" w:eastAsia="Arial" w:hAnsi="Arial" w:cs="Arial"/>
          <w:b/>
          <w:color w:val="555555"/>
          <w:sz w:val="32"/>
          <w:szCs w:val="32"/>
        </w:rPr>
        <w:t>[</w:t>
      </w:r>
      <w:r>
        <w:rPr>
          <w:rFonts w:ascii="Arial" w:eastAsia="Arial" w:hAnsi="Arial" w:cs="Arial"/>
          <w:b/>
          <w:color w:val="0B0080"/>
          <w:sz w:val="32"/>
          <w:szCs w:val="32"/>
          <w:u w:val="single"/>
        </w:rPr>
        <w:t>Bearbeiten</w:t>
      </w:r>
      <w:r>
        <w:rPr>
          <w:rFonts w:ascii="Arial" w:eastAsia="Arial" w:hAnsi="Arial" w:cs="Arial"/>
          <w:b/>
          <w:color w:val="555555"/>
          <w:sz w:val="32"/>
          <w:szCs w:val="32"/>
        </w:rPr>
        <w:t> | </w:t>
      </w:r>
      <w:r>
        <w:rPr>
          <w:rFonts w:ascii="Arial" w:eastAsia="Arial" w:hAnsi="Arial" w:cs="Arial"/>
          <w:b/>
          <w:color w:val="0B0080"/>
          <w:sz w:val="32"/>
          <w:szCs w:val="32"/>
          <w:u w:val="single"/>
        </w:rPr>
        <w:t>Quelltext bearbeiten</w:t>
      </w:r>
      <w:r>
        <w:rPr>
          <w:rFonts w:ascii="Arial" w:eastAsia="Arial" w:hAnsi="Arial" w:cs="Arial"/>
          <w:b/>
          <w:color w:val="555555"/>
          <w:sz w:val="32"/>
          <w:szCs w:val="32"/>
        </w:rPr>
        <w:t>]</w:t>
      </w:r>
    </w:p>
    <w:p w14:paraId="408A336F" w14:textId="77777777" w:rsidR="00D0252E" w:rsidRDefault="00280AC1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32"/>
          <w:szCs w:val="32"/>
        </w:rPr>
        <w:t>Das Museum wurde 1996 nach einem Entwurf von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Günter Zamp Kelp</w:t>
      </w:r>
      <w:r>
        <w:rPr>
          <w:rFonts w:ascii="Arial" w:eastAsia="Arial" w:hAnsi="Arial" w:cs="Arial"/>
          <w:color w:val="252525"/>
          <w:sz w:val="32"/>
          <w:szCs w:val="32"/>
        </w:rPr>
        <w:t>, </w:t>
      </w:r>
      <w:r>
        <w:rPr>
          <w:rFonts w:ascii="Arial" w:eastAsia="Arial" w:hAnsi="Arial" w:cs="Arial"/>
          <w:color w:val="A55858"/>
          <w:sz w:val="32"/>
          <w:szCs w:val="32"/>
          <w:u w:val="single"/>
        </w:rPr>
        <w:t>Julius Krauss</w:t>
      </w:r>
      <w:r>
        <w:rPr>
          <w:rFonts w:ascii="Arial" w:eastAsia="Arial" w:hAnsi="Arial" w:cs="Arial"/>
          <w:color w:val="252525"/>
          <w:sz w:val="32"/>
          <w:szCs w:val="32"/>
        </w:rPr>
        <w:t> und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Arno Brandlhuber</w:t>
      </w:r>
      <w:r>
        <w:rPr>
          <w:rFonts w:ascii="Arial" w:eastAsia="Arial" w:hAnsi="Arial" w:cs="Arial"/>
          <w:color w:val="0B0080"/>
          <w:sz w:val="32"/>
          <w:szCs w:val="32"/>
          <w:u w:val="single"/>
          <w:vertAlign w:val="superscript"/>
        </w:rPr>
        <w:t>[1]</w:t>
      </w:r>
      <w:r>
        <w:rPr>
          <w:rFonts w:ascii="Arial" w:eastAsia="Arial" w:hAnsi="Arial" w:cs="Arial"/>
          <w:color w:val="252525"/>
          <w:sz w:val="32"/>
          <w:szCs w:val="32"/>
        </w:rPr>
        <w:t> d</w:t>
      </w:r>
      <w:r>
        <w:rPr>
          <w:rFonts w:ascii="Arial" w:eastAsia="Arial" w:hAnsi="Arial" w:cs="Arial"/>
          <w:color w:val="252525"/>
          <w:sz w:val="32"/>
          <w:szCs w:val="32"/>
        </w:rPr>
        <w:t>irekt an der Verbindungsstraße zwischen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Erkrath</w:t>
      </w:r>
      <w:r>
        <w:rPr>
          <w:rFonts w:ascii="Arial" w:eastAsia="Arial" w:hAnsi="Arial" w:cs="Arial"/>
          <w:color w:val="252525"/>
          <w:sz w:val="32"/>
          <w:szCs w:val="32"/>
        </w:rPr>
        <w:t> und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Mettmann</w:t>
      </w:r>
      <w:r>
        <w:rPr>
          <w:rFonts w:ascii="Arial" w:eastAsia="Arial" w:hAnsi="Arial" w:cs="Arial"/>
          <w:color w:val="252525"/>
          <w:sz w:val="32"/>
          <w:szCs w:val="32"/>
        </w:rPr>
        <w:t xml:space="preserve"> eröffnet. Zuvor war die Ausstellung in einem Gebäude untergebracht gewesen, das </w:t>
      </w:r>
      <w:r>
        <w:rPr>
          <w:rFonts w:ascii="Arial" w:eastAsia="Arial" w:hAnsi="Arial" w:cs="Arial"/>
          <w:color w:val="252525"/>
          <w:sz w:val="32"/>
          <w:szCs w:val="32"/>
        </w:rPr>
        <w:t>einige hundert Meter entfernt etwas mehr im Wald steht; dort ist heute eine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Steinzeit</w:t>
      </w:r>
      <w:r>
        <w:rPr>
          <w:rFonts w:ascii="Arial" w:eastAsia="Arial" w:hAnsi="Arial" w:cs="Arial"/>
          <w:color w:val="252525"/>
          <w:sz w:val="32"/>
          <w:szCs w:val="32"/>
        </w:rPr>
        <w:t>werkstatt untergebracht. Die </w:t>
      </w:r>
      <w:r>
        <w:rPr>
          <w:rFonts w:ascii="Arial" w:eastAsia="Arial" w:hAnsi="Arial" w:cs="Arial"/>
          <w:i/>
          <w:color w:val="252525"/>
          <w:sz w:val="32"/>
          <w:szCs w:val="32"/>
        </w:rPr>
        <w:t>Stiftung Neanderthal</w:t>
      </w:r>
      <w:r>
        <w:rPr>
          <w:rFonts w:ascii="Arial" w:eastAsia="Arial" w:hAnsi="Arial" w:cs="Arial"/>
          <w:color w:val="252525"/>
          <w:sz w:val="32"/>
          <w:szCs w:val="32"/>
        </w:rPr>
        <w:t> ist der Träger des Museums, das jährlich von rund 170 000 Menschen besucht wird.</w:t>
      </w:r>
    </w:p>
    <w:p w14:paraId="10E4032B" w14:textId="77777777" w:rsidR="00D0252E" w:rsidRDefault="00280AC1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32"/>
          <w:szCs w:val="32"/>
        </w:rPr>
        <w:t>Im heutigen, annähernd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ovalen</w:t>
      </w:r>
      <w:r>
        <w:rPr>
          <w:rFonts w:ascii="Arial" w:eastAsia="Arial" w:hAnsi="Arial" w:cs="Arial"/>
          <w:color w:val="252525"/>
          <w:sz w:val="32"/>
          <w:szCs w:val="32"/>
        </w:rPr>
        <w:t> Museumsgebäude schraubt sich ein stufenloser „Rundweg“ vom Eingangsbereich zur obersten Etage. Die Ausstellungsgegenstände sind teils chronologi</w:t>
      </w:r>
      <w:r>
        <w:rPr>
          <w:rFonts w:ascii="Arial" w:eastAsia="Arial" w:hAnsi="Arial" w:cs="Arial"/>
          <w:color w:val="252525"/>
          <w:sz w:val="32"/>
          <w:szCs w:val="32"/>
        </w:rPr>
        <w:t>sch nach Epochen der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Menschwerdung</w:t>
      </w:r>
      <w:r>
        <w:rPr>
          <w:rFonts w:ascii="Arial" w:eastAsia="Arial" w:hAnsi="Arial" w:cs="Arial"/>
          <w:color w:val="252525"/>
          <w:sz w:val="32"/>
          <w:szCs w:val="32"/>
        </w:rPr>
        <w:t>, teils nach sozialen und kulturellen Themengebieten angeordnet. Ein im Eintrittspreis enthaltenes Audiosystem ermöglicht eine eigenverantwortliche Führung in d</w:t>
      </w:r>
      <w:r>
        <w:rPr>
          <w:rFonts w:ascii="Arial" w:eastAsia="Arial" w:hAnsi="Arial" w:cs="Arial"/>
          <w:color w:val="252525"/>
          <w:sz w:val="32"/>
          <w:szCs w:val="32"/>
        </w:rPr>
        <w:t>eutscher und in englischer Sprache. Zahlreiche, sehr ausführliche Informationstafeln und einige Videoinstallationen sind in diesen und weiteren Sprachen in die Ausstellung integriert. Mit Hilfe von zahlreichen lebensgroßen Rekonstruktionen von Neandertaler</w:t>
      </w:r>
      <w:r>
        <w:rPr>
          <w:rFonts w:ascii="Arial" w:eastAsia="Arial" w:hAnsi="Arial" w:cs="Arial"/>
          <w:color w:val="252525"/>
          <w:sz w:val="32"/>
          <w:szCs w:val="32"/>
        </w:rPr>
        <w:t>n und anderen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Vormenschen</w:t>
      </w:r>
      <w:r>
        <w:rPr>
          <w:rFonts w:ascii="Arial" w:eastAsia="Arial" w:hAnsi="Arial" w:cs="Arial"/>
          <w:color w:val="252525"/>
          <w:sz w:val="32"/>
          <w:szCs w:val="32"/>
        </w:rPr>
        <w:t> wird versucht, ein anschauliches Bild vom Aussehen dieser frühen Verwandten des anatomisch modernen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Menschen</w:t>
      </w:r>
      <w:r>
        <w:rPr>
          <w:rFonts w:ascii="Arial" w:eastAsia="Arial" w:hAnsi="Arial" w:cs="Arial"/>
          <w:color w:val="252525"/>
          <w:sz w:val="32"/>
          <w:szCs w:val="32"/>
        </w:rPr>
        <w:t> zu ver</w:t>
      </w:r>
      <w:r>
        <w:rPr>
          <w:rFonts w:ascii="Arial" w:eastAsia="Arial" w:hAnsi="Arial" w:cs="Arial"/>
          <w:color w:val="252525"/>
          <w:sz w:val="32"/>
          <w:szCs w:val="32"/>
        </w:rPr>
        <w:t>mitteln. Ergänzt wird die Ausstellung durch eine Filmleinwand, ein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Café</w:t>
      </w:r>
      <w:r>
        <w:rPr>
          <w:rFonts w:ascii="Arial" w:eastAsia="Arial" w:hAnsi="Arial" w:cs="Arial"/>
          <w:color w:val="252525"/>
          <w:sz w:val="32"/>
          <w:szCs w:val="32"/>
        </w:rPr>
        <w:t> und einen Museumsshop.</w:t>
      </w:r>
    </w:p>
    <w:p w14:paraId="165A33EF" w14:textId="77777777" w:rsidR="00D0252E" w:rsidRDefault="00280AC1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32"/>
          <w:szCs w:val="32"/>
        </w:rPr>
        <w:t>Zum Museum gehört auch ein archäologischer Garten in unmittelbarer Nähe der ehemaligen Lage der „Kleine</w:t>
      </w:r>
      <w:r>
        <w:rPr>
          <w:rFonts w:ascii="Arial" w:eastAsia="Arial" w:hAnsi="Arial" w:cs="Arial"/>
          <w:color w:val="252525"/>
          <w:sz w:val="32"/>
          <w:szCs w:val="32"/>
        </w:rPr>
        <w:t xml:space="preserve">n Feldhofer Grotte“ (des Fundortes der Knochen des Neandertalers von </w:t>
      </w:r>
      <w:r>
        <w:rPr>
          <w:rFonts w:ascii="Arial" w:eastAsia="Arial" w:hAnsi="Arial" w:cs="Arial"/>
          <w:color w:val="252525"/>
          <w:sz w:val="32"/>
          <w:szCs w:val="32"/>
        </w:rPr>
        <w:lastRenderedPageBreak/>
        <w:t>1856), die durch den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Kalksteinabbau</w:t>
      </w:r>
      <w:r>
        <w:rPr>
          <w:rFonts w:ascii="Arial" w:eastAsia="Arial" w:hAnsi="Arial" w:cs="Arial"/>
          <w:color w:val="252525"/>
          <w:sz w:val="32"/>
          <w:szCs w:val="32"/>
        </w:rPr>
        <w:t xml:space="preserve"> in diesem Gebiet vernichtet wurde. Die ehemalige Lage der Grotte konnte erst im August 1997 </w:t>
      </w:r>
      <w:r>
        <w:rPr>
          <w:rFonts w:ascii="Arial" w:eastAsia="Arial" w:hAnsi="Arial" w:cs="Arial"/>
          <w:color w:val="252525"/>
          <w:sz w:val="32"/>
          <w:szCs w:val="32"/>
        </w:rPr>
        <w:t>wieder lokalisiert werden. Das Gelände ist nun eine große Wiese an der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Düssel</w:t>
      </w:r>
      <w:r>
        <w:rPr>
          <w:rFonts w:ascii="Arial" w:eastAsia="Arial" w:hAnsi="Arial" w:cs="Arial"/>
          <w:color w:val="252525"/>
          <w:sz w:val="32"/>
          <w:szCs w:val="32"/>
        </w:rPr>
        <w:t> mit mehreren erklärenden und anregenden Kunstobjekten; zum Beispiel ist der Fußweg durch das Gelände als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Zeitstrahl</w:t>
      </w:r>
      <w:r>
        <w:rPr>
          <w:rFonts w:ascii="Arial" w:eastAsia="Arial" w:hAnsi="Arial" w:cs="Arial"/>
          <w:color w:val="252525"/>
          <w:sz w:val="32"/>
          <w:szCs w:val="32"/>
        </w:rPr>
        <w:t> gestaltet.</w:t>
      </w:r>
    </w:p>
    <w:p w14:paraId="1D870ADA" w14:textId="77777777" w:rsidR="00D0252E" w:rsidRDefault="00280AC1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32"/>
          <w:szCs w:val="32"/>
        </w:rPr>
        <w:t>Direkt am Museum startet und endet der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Kunstweg MenschenSpuren</w:t>
      </w:r>
      <w:r>
        <w:rPr>
          <w:rFonts w:ascii="Arial" w:eastAsia="Arial" w:hAnsi="Arial" w:cs="Arial"/>
          <w:color w:val="252525"/>
          <w:sz w:val="32"/>
          <w:szCs w:val="32"/>
        </w:rPr>
        <w:t> mit Werken von 11 Künstlern. An den Kunstweg grenzt das </w:t>
      </w:r>
      <w:r>
        <w:rPr>
          <w:rFonts w:ascii="Arial" w:eastAsia="Arial" w:hAnsi="Arial" w:cs="Arial"/>
          <w:color w:val="0B0080"/>
          <w:sz w:val="32"/>
          <w:szCs w:val="32"/>
          <w:u w:val="single"/>
        </w:rPr>
        <w:t>Eiszeitliche Wildgehege Neandertal</w:t>
      </w:r>
      <w:r>
        <w:rPr>
          <w:rFonts w:ascii="Arial" w:eastAsia="Arial" w:hAnsi="Arial" w:cs="Arial"/>
          <w:color w:val="252525"/>
          <w:sz w:val="32"/>
          <w:szCs w:val="32"/>
        </w:rPr>
        <w:t>. In der Steinzeitwerkstatt werden steinzeitliche Techniken und Arbeitsweisen für Jung und Alt praktisch erfahrbar.</w:t>
      </w:r>
    </w:p>
    <w:p w14:paraId="60B81B6B" w14:textId="77777777" w:rsidR="00D0252E" w:rsidRDefault="00D0252E"/>
    <w:bookmarkEnd w:id="1"/>
    <w:sectPr w:rsidR="00D0252E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0252E"/>
    <w:rsid w:val="00280AC1"/>
    <w:rsid w:val="00D0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C6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Macintosh Word</Application>
  <DocSecurity>0</DocSecurity>
  <Lines>16</Lines>
  <Paragraphs>4</Paragraphs>
  <ScaleCrop>false</ScaleCrop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2016-06-15T20:06:00Z</dcterms:created>
  <dcterms:modified xsi:type="dcterms:W3CDTF">2016-06-15T20:06:00Z</dcterms:modified>
</cp:coreProperties>
</file>