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color w:val="b60005"/>
          <w:sz w:val="27"/>
          <w:szCs w:val="27"/>
          <w:highlight w:val="white"/>
          <w:rtl w:val="0"/>
        </w:rPr>
        <w:t xml:space="preserve">Broadband for All</w:t>
      </w:r>
    </w:p>
    <w:p w:rsidR="00000000" w:rsidDel="00000000" w:rsidP="00000000" w:rsidRDefault="00000000" w:rsidRPr="00000000">
      <w:pPr>
        <w:contextualSpacing w:val="0"/>
      </w:pPr>
      <w:r w:rsidDel="00000000" w:rsidR="00000000" w:rsidRPr="00000000">
        <w:rPr>
          <w:rFonts w:ascii="Arial" w:cs="Arial" w:eastAsia="Arial" w:hAnsi="Arial"/>
          <w:b w:val="1"/>
          <w:color w:val="666666"/>
          <w:sz w:val="21"/>
          <w:szCs w:val="21"/>
          <w:highlight w:val="white"/>
          <w:rtl w:val="0"/>
        </w:rPr>
        <w:t xml:space="preserve">Connecting the 4.4 billion unconnected</w:t>
      </w:r>
      <w:r w:rsidDel="00000000" w:rsidR="00000000" w:rsidRPr="00000000">
        <w:rPr>
          <w:rFonts w:ascii="Arial" w:cs="Arial" w:eastAsia="Arial" w:hAnsi="Arial"/>
          <w:color w:val="666666"/>
          <w:sz w:val="21"/>
          <w:szCs w:val="21"/>
          <w:highlight w:val="white"/>
          <w:rtl w:val="0"/>
        </w:rPr>
        <w:t xml:space="preserve">: According to a 2013 ITU report, 77% of citizens in developed countries have Internet access, compared to 31% in developing countries. This means that among the 4.4 billion unconnected, less than 300 million are from developed regions such as the US, Europe, Japan, and South Korea. </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Huawei is dedicated to building broad information pipes to enable ubiquitous broadband availability. We actively promote future-oriented ICT technologies to unlock infinite possibilities by connecting people and people, people and things, and things and things.</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b w:val="1"/>
          <w:color w:val="666666"/>
          <w:sz w:val="21"/>
          <w:szCs w:val="21"/>
          <w:highlight w:val="white"/>
          <w:rtl w:val="0"/>
        </w:rPr>
        <w:t xml:space="preserve">Case Study: Huawei's TD-LTE Solutions Bring Affordable Broadband to West Africa</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666666"/>
          <w:sz w:val="21"/>
          <w:szCs w:val="21"/>
          <w:highlight w:val="white"/>
          <w:rtl w:val="0"/>
        </w:rPr>
        <w:t xml:space="preserve">According to a 2009 World Bank study, gross domestic product (GDP) of low to middle income countries can grow by an additional 1.4% with a 10% increase in broadband usage. Business and agriculture benefit from more efficient processes and access to wider markets, while vital areas of society, including education, research, and healthcare, improve from greater access to information through the Internet. Across all of Africa, only 5.3% of homes had access to fixed broadband at the end of 2012, while the percentage in Europe was 77%.</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"Broadband inclusion for all" is a core element of Huawei's sustainability strategy and an especially important focus for our teams in West Africa. Nigeria's National Broadband Strategy envisions a 95% availability rate of 3G/4G data technology and a usage rate of 76% by 2020. As of 2013, the country had low availability (35%) and usage (6%) rates due to both access and affordability. Broadband data packages were typically quite expensive in 2012: roughly US$80/month for a capped plan or US$300/month for unlimited data. </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To provide affordable broadband access, Huawei worked with Nigerian carriers Swift Networks and Spectranet to provide a smooth transition from WiMAX to Long Term Evolution (LTE) technology, with large capacity and easy to obtain spectrum resources. LTE technology performs better than older networks due to increased bandwidth, and this added capacity allows for more users within a base station. Higher LTE speeds give end users lower latency, which translates into a much more stable user experience. The technology's impressive speed helps build better mobile payment platforms and improves mobile user experiences for services such as banking and video chat. </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Huawei Nigeria worked with Swift Networks and Spectranet in 2013 to make LTE available in Lagos, Nigeria, a bustling city of over 20 million people. Charles Anudu, Managing Director at Swift Networks, describes our LTE efforts as a "bold investment", noting that bridging the digital divide with affordable and accessible broadband is of the highest importance for developing countries like Nigeria. We helped Swift Networks build a new 2.3 GHz TD-LTE network in 2013, which doubled the throughput of the existing WiMAX network. Swift Networks updated their network primarily through minor upgrades, significantly reducing deployment cost and operating cost. These cost savings and the added capacity of LTE allows Swift Networks to provide lower data prices for consumers, and enables end users to enjoy broadband access at very affordable rates.</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A Swift Networks family package in Lagos is now available and 20GB costs around US$35 per month, while an entry-level plan for students and workers provides 300MB per month for only US$3, a significant reduction from the previous US$80 packages. End users in Lagos can now enjoy affordable broadband access on par with the developed world, with more of Nigeria soon to follow. </w:t>
      </w:r>
      <w:r w:rsidDel="00000000" w:rsidR="00000000" w:rsidRPr="00000000">
        <w:rPr>
          <w:rFonts w:ascii="Arial" w:cs="Arial" w:eastAsia="Arial" w:hAnsi="Arial"/>
          <w:color w:val="666666"/>
          <w:sz w:val="21"/>
          <w:szCs w:val="21"/>
          <w:rtl w:val="0"/>
        </w:rPr>
        <w:br w:type="textWrapping"/>
        <w:br w:type="textWrapping"/>
      </w:r>
      <w:r w:rsidDel="00000000" w:rsidR="00000000" w:rsidRPr="00000000">
        <w:rPr>
          <w:rFonts w:ascii="Arial" w:cs="Arial" w:eastAsia="Arial" w:hAnsi="Arial"/>
          <w:color w:val="666666"/>
          <w:sz w:val="21"/>
          <w:szCs w:val="21"/>
          <w:highlight w:val="white"/>
          <w:rtl w:val="0"/>
        </w:rPr>
        <w:t xml:space="preserve">More and more Nigerian users are embracing the Internet service. Students now register for online studies, companies can set up video conferences with foreign business partners, and people rely on the Internet for news and information. Huawei will continue to work with our partners to increase capacity and expand into new cities across Nigeria. We will continue to update customers' 3.5GHz WiMAX networks to TD-LTE to provide increased broadband access at affordable prices for more Nigerians in the future.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