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50" w:before="15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栽培難しく幻の花</w:t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「青いケシ」、高原で見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6"/>
          <w:szCs w:val="36"/>
          <w:rtl w:val="0"/>
        </w:rPr>
        <w:t xml:space="preserve">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50" w:before="15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長野県大鹿村の大池高原（標高約１５００メ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ートル）にある中村農園で、青いケシの花が見頃を迎えている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青いケシは、ヒマラヤ原産の多年草メコノプシス。夏でも気温が２５度を超えず、適度な雨が必要など、栽培が難しいことから、幻の花とも言われている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切り花農家で園主の中村元夫さん（７３）が２２年前に種をまき、今では５０００株以上に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増えた。今年は雪が少なかった影響で、咲き始めが例年より１０日ほど早く、咲き方にバラツキがあるが、７月上旬まで楽しめそうだという。愛知県刈谷市から訪れた女性（６７）は「色に微妙な濃淡があって神秘的」と話していた。入園料は５００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