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1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444444"/>
          <w:sz w:val="48"/>
          <w:szCs w:val="48"/>
          <w:rtl w:val="0"/>
        </w:rPr>
        <w:t xml:space="preserve">ミスで初診扱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48"/>
          <w:szCs w:val="48"/>
          <w:rtl w:val="0"/>
        </w:rPr>
        <w:t xml:space="preserve">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9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9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4"/>
          <w:szCs w:val="24"/>
          <w:rtl w:val="0"/>
        </w:rPr>
        <w:t xml:space="preserve">東京都大田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444444"/>
          <w:sz w:val="24"/>
          <w:szCs w:val="24"/>
          <w:rtl w:val="0"/>
        </w:rPr>
        <w:t xml:space="preserve">区　主婦　５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4"/>
          <w:szCs w:val="24"/>
          <w:rtl w:val="0"/>
        </w:rPr>
        <w:t xml:space="preserve">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数年前から、痛みのある膝の治療で整形外科医院に毎月通院する夫（６５）に付き添っている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診療後、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会計を終えると、いつもより高額であることに気づいた。明細書を見ると初診扱いになっており、窓口で説明を求めると、医師の指示という。前回の受診から１か月と３日経過していたが、同じ病気の治療で毎月通っていることを伝えると、再診扱いに変更して、過払い分を返金してくれ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今回は偶然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気づいたが、医療機関に請求されるまま、不要な支払いを続ける患者も少なくないのではないか。医療機関側の確認はもちろんだが、患者も明細をチェックするのが大切だと感じた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4"/>
          <w:szCs w:val="24"/>
          <w:rtl w:val="0"/>
        </w:rPr>
        <w:t xml:space="preserve">◇担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444444"/>
          <w:sz w:val="24"/>
          <w:szCs w:val="24"/>
          <w:rtl w:val="0"/>
        </w:rPr>
        <w:t xml:space="preserve">当記者か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4"/>
          <w:szCs w:val="24"/>
          <w:rtl w:val="0"/>
        </w:rPr>
        <w:t xml:space="preserve">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医療機関で初めて診察を受けると、「初診料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」として２８２０円（３割負担で８５０円）、再度受診した場合には「再診料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・外来診療料」として７２０～７３０円（同２２０円）の診療報酬が算定されます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同じ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医療機関で再び診察を受けても、初診料が算定されることがあります。厚生労働省によると、〈１〉一つの病気の治癒後、別の病気で受診〈２〉患者が自己判断で診療を中止し、１か月以上経過した後の受診</w:t>
      </w:r>
      <w:r w:rsidDel="00000000" w:rsidR="00000000" w:rsidRPr="00000000">
        <w:rPr>
          <w:rFonts w:ascii="Verdana" w:cs="Verdana" w:eastAsia="Verdana" w:hAnsi="Verdana"/>
          <w:b w:val="0"/>
          <w:color w:val="444444"/>
          <w:sz w:val="24"/>
          <w:szCs w:val="24"/>
          <w:rtl w:val="0"/>
        </w:rPr>
        <w:t xml:space="preserve">――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などです。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投稿者の場合は、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医師が〈２〉とみなしたためと考えられます。数年前から同じ病気の治療を定期的に継続しており、本来は再診料を算定すべきケースです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　厚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労省の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担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444444"/>
          <w:sz w:val="24"/>
          <w:szCs w:val="24"/>
          <w:rtl w:val="0"/>
        </w:rPr>
        <w:t xml:space="preserve">当者は「明細書などを見て疑問に思った時は、医療機関に確認してほしい」と話しています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444444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