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75"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36"/>
          <w:szCs w:val="36"/>
          <w:rtl w:val="0"/>
        </w:rPr>
        <w:t xml:space="preserve">フィギュア羽生、左足甲は全治２カ月　当面は治療に専念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6"/>
          <w:szCs w:val="36"/>
          <w:rtl w:val="0"/>
        </w:rPr>
        <w:t xml:space="preserve"> </w:t>
      </w:r>
    </w:p>
    <w:p w:rsidR="00000000" w:rsidDel="00000000" w:rsidP="00000000" w:rsidRDefault="00000000" w:rsidRPr="00000000">
      <w:pPr>
        <w:spacing w:after="75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　日本スケ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ート連盟は</w:t>
      </w:r>
      <w:r w:rsidDel="00000000" w:rsidR="00000000" w:rsidRPr="00000000">
        <w:rPr>
          <w:rFonts w:ascii="Arial" w:cs="Arial" w:eastAsia="Arial" w:hAnsi="Arial"/>
          <w:b w:val="0"/>
          <w:color w:val="333333"/>
          <w:sz w:val="32"/>
          <w:szCs w:val="32"/>
          <w:rtl w:val="0"/>
        </w:rPr>
        <w:t xml:space="preserve">26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日、フィギュアスケ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ートのソチ冬季五輪王者で左足甲を痛めていた羽生結弦（ＡＮＡ）が「リスフラン関節靱帯損傷」のため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全治約２カ月の安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静、加療を要する見込みとの診断結果を発表した。２位だった２日終了の世界選手権後は練習拠点のトロント（カナダ）で療養しており、当面は帰国せずに治療に専念する。所属するＡＮＡは５月中旬にあらためて経過を報告する方針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。</w:t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　羽生はシ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ーズン序盤から左足に痛みを抱え、年明けに状態が悪化。左足で氷を突いて踏み切るトーループは負担が大きいため、２大会ぶりの優勝を目指した世界選手権では一部の４回転ジャンプをサルコーに変えざるを得なかった。〔共同</w:t>
      </w:r>
      <w:r w:rsidDel="00000000" w:rsidR="00000000" w:rsidRPr="00000000">
        <w:rPr>
          <w:rFonts w:ascii="Cambria" w:cs="Cambria" w:eastAsia="Cambria" w:hAnsi="Cambria"/>
          <w:b w:val="0"/>
          <w:color w:val="333333"/>
          <w:sz w:val="32"/>
          <w:szCs w:val="32"/>
          <w:rtl w:val="0"/>
        </w:rPr>
        <w:t xml:space="preserve">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SimSun"/>
  <w:font w:name="Arial"/>
  <w:font w:name="Malgun Gothic"/>
  <w:font w:name="Microsoft JhengHe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